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567" w:right="567" w:firstLine="283.9999999999999"/>
        <w:jc w:val="center"/>
        <w:rPr>
          <w:rFonts w:ascii="Garamond" w:cs="Garamond" w:eastAsia="Garamond" w:hAnsi="Garamond"/>
          <w:b w:val="1"/>
          <w:bCs w:val="1"/>
          <w:sz w:val="28"/>
          <w:szCs w:val="28"/>
        </w:rPr>
      </w:pPr>
      <w:r w:rsidDel="00000000" w:rsidR="00000000" w:rsidRPr="00000000">
        <w:rPr>
          <w:rFonts w:ascii="Garamond" w:cs="Garamond" w:eastAsia="Garamond" w:hAnsi="Garamond"/>
          <w:b w:val="1"/>
          <w:bCs w:val="1"/>
          <w:sz w:val="28"/>
          <w:szCs w:val="28"/>
          <w:rtl w:val="0"/>
        </w:rPr>
        <w:t xml:space="preserve">IL COMING OUT COME TEST RELAZIONALE IN OTTICA CMT</w:t>
      </w:r>
    </w:p>
    <w:p w:rsidR="00000000" w:rsidDel="00000000" w:rsidP="00000000" w:rsidRDefault="00000000" w:rsidRPr="00000000" w14:paraId="00000002">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03">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I FONDAMENTI TEORICI DELLA CONTROL MASTERY THEORY</w:t>
      </w:r>
    </w:p>
    <w:p w:rsidR="00000000" w:rsidDel="00000000" w:rsidP="00000000" w:rsidRDefault="00000000" w:rsidRPr="00000000" w14:paraId="00000004">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05">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La Control-Mastery Theory (CMT) è una teoria relazionale e dinamico-cognitiva, ideata e sviluppata da Jospeh Weiss e Harold Sampson, dal San Francisco Psychotherapy Research Group e più recentemente anche dal CMT-Italian Group.</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La teoria assume che gli esseri umani siano intrinsecamente motivati ad adattarsi alla realtà, a risolvere i propri problemi e a padroneggiare le esperienze traumatiche e presuppone l’esistenza di un inconscio adattivo capace di svolgere funzioni cognitive complesse, come stabilire obiettivi, fare piani e valutare rischi. Inoltre, la CMT parte dal presupposto che tra le motivazioni di base dell’essere umano vi siano motivazioni prosociali e che il principio di regolazione fondamentale del funzionamento mentale è un principio di sicurezza vs pericolo.</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Quando una persona si trova ad affrontare traumi da shock o da stress può sviluppare </w:t>
      </w:r>
      <w:r w:rsidDel="00000000" w:rsidR="00000000" w:rsidRPr="00000000">
        <w:rPr>
          <w:rFonts w:ascii="Garamond" w:cs="Garamond" w:eastAsia="Garamond" w:hAnsi="Garamond"/>
          <w:b w:val="1"/>
          <w:bCs w:val="1"/>
          <w:color w:val="000000"/>
          <w:rtl w:val="0"/>
        </w:rPr>
        <w:t xml:space="preserve">credenze patogene</w:t>
      </w:r>
      <w:r w:rsidDel="00000000" w:rsidR="00000000" w:rsidRPr="00000000">
        <w:rPr>
          <w:rFonts w:ascii="Garamond" w:cs="Garamond" w:eastAsia="Garamond" w:hAnsi="Garamond"/>
          <w:color w:val="000000"/>
          <w:rtl w:val="0"/>
        </w:rPr>
        <w:t xml:space="preserve">, ovvero convinzioni inconsce che associano il perseguimento di obiettivi sani, come la realizzazione, il successo, l’autenticità o il piacere, a un pericolo per sé o per le persone amate. Le credenze patogene non sono semplici convinzioni disfunzionali, ma strategie adattive sviluppate per preservare i legami e garantire la sicurezza relazionale in contesti percepiti come pericolosi. Queste credenze possono generare nella persona intensi </w:t>
      </w:r>
      <w:r w:rsidDel="00000000" w:rsidR="00000000" w:rsidRPr="00000000">
        <w:rPr>
          <w:rFonts w:ascii="Garamond" w:cs="Garamond" w:eastAsia="Garamond" w:hAnsi="Garamond"/>
          <w:b w:val="1"/>
          <w:bCs w:val="1"/>
          <w:color w:val="000000"/>
          <w:rtl w:val="0"/>
        </w:rPr>
        <w:t xml:space="preserve">sensi di colpa interpersonali</w:t>
      </w:r>
      <w:r w:rsidDel="00000000" w:rsidR="00000000" w:rsidRPr="00000000">
        <w:rPr>
          <w:rFonts w:ascii="Garamond" w:cs="Garamond" w:eastAsia="Garamond" w:hAnsi="Garamond"/>
          <w:color w:val="000000"/>
          <w:rtl w:val="0"/>
        </w:rPr>
        <w:t xml:space="preserve"> che la portano ad inibire le proprie potenzialità e a rinunciare o limitare il perseguimento dei propri obiettivi sani di crescita e realizzazione.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La Control-Mastery Theory individua cinque tipologie di sensi di colpa interpersonali. Il </w:t>
      </w:r>
      <w:r w:rsidDel="00000000" w:rsidR="00000000" w:rsidRPr="00000000">
        <w:rPr>
          <w:rFonts w:ascii="Garamond" w:cs="Garamond" w:eastAsia="Garamond" w:hAnsi="Garamond"/>
          <w:b w:val="1"/>
          <w:bCs w:val="1"/>
          <w:color w:val="000000"/>
          <w:rtl w:val="0"/>
        </w:rPr>
        <w:t xml:space="preserve">senso di colpa da responsabilità onnipotente</w:t>
      </w:r>
      <w:r w:rsidDel="00000000" w:rsidR="00000000" w:rsidRPr="00000000">
        <w:rPr>
          <w:rFonts w:ascii="Garamond" w:cs="Garamond" w:eastAsia="Garamond" w:hAnsi="Garamond"/>
          <w:color w:val="000000"/>
          <w:rtl w:val="0"/>
        </w:rPr>
        <w:t xml:space="preserve"> si fonda sulla credenza di essere responsabili del benessere e della felicità delle persone amate. Il </w:t>
      </w:r>
      <w:r w:rsidDel="00000000" w:rsidR="00000000" w:rsidRPr="00000000">
        <w:rPr>
          <w:rFonts w:ascii="Garamond" w:cs="Garamond" w:eastAsia="Garamond" w:hAnsi="Garamond"/>
          <w:b w:val="1"/>
          <w:bCs w:val="1"/>
          <w:color w:val="000000"/>
          <w:rtl w:val="0"/>
        </w:rPr>
        <w:t xml:space="preserve">senso di colpa del sopravvissuto</w:t>
      </w:r>
      <w:r w:rsidDel="00000000" w:rsidR="00000000" w:rsidRPr="00000000">
        <w:rPr>
          <w:rFonts w:ascii="Garamond" w:cs="Garamond" w:eastAsia="Garamond" w:hAnsi="Garamond"/>
          <w:color w:val="000000"/>
          <w:rtl w:val="0"/>
        </w:rPr>
        <w:t xml:space="preserve"> riguarda la convinzione che il proprio benessere o successo sia ingiusto rispetto alla sofferenza delle figure significative. Il </w:t>
      </w:r>
      <w:r w:rsidDel="00000000" w:rsidR="00000000" w:rsidRPr="00000000">
        <w:rPr>
          <w:rFonts w:ascii="Garamond" w:cs="Garamond" w:eastAsia="Garamond" w:hAnsi="Garamond"/>
          <w:b w:val="1"/>
          <w:bCs w:val="1"/>
          <w:color w:val="000000"/>
          <w:rtl w:val="0"/>
        </w:rPr>
        <w:t xml:space="preserve">senso di colpa da separazione o slealtà</w:t>
      </w:r>
      <w:r w:rsidDel="00000000" w:rsidR="00000000" w:rsidRPr="00000000">
        <w:rPr>
          <w:rFonts w:ascii="Garamond" w:cs="Garamond" w:eastAsia="Garamond" w:hAnsi="Garamond"/>
          <w:color w:val="000000"/>
          <w:rtl w:val="0"/>
        </w:rPr>
        <w:t xml:space="preserve"> riguarda la convinzione che differenziarsi o affermare un’identità autonoma comporti una ferita per l’altro. Il </w:t>
      </w:r>
      <w:r w:rsidDel="00000000" w:rsidR="00000000" w:rsidRPr="00000000">
        <w:rPr>
          <w:rFonts w:ascii="Garamond" w:cs="Garamond" w:eastAsia="Garamond" w:hAnsi="Garamond"/>
          <w:b w:val="1"/>
          <w:bCs w:val="1"/>
          <w:color w:val="000000"/>
          <w:rtl w:val="0"/>
        </w:rPr>
        <w:t xml:space="preserve">senso di colpa da burdening</w:t>
      </w:r>
      <w:r w:rsidDel="00000000" w:rsidR="00000000" w:rsidRPr="00000000">
        <w:rPr>
          <w:rFonts w:ascii="Garamond" w:cs="Garamond" w:eastAsia="Garamond" w:hAnsi="Garamond"/>
          <w:color w:val="000000"/>
          <w:rtl w:val="0"/>
        </w:rPr>
        <w:t xml:space="preserve"> si fonda sulla credenza secondo cui esprimere bisogni o emozioni equivale a pesare sull’altro. Infine, nell’</w:t>
      </w:r>
      <w:r w:rsidDel="00000000" w:rsidR="00000000" w:rsidRPr="00000000">
        <w:rPr>
          <w:rFonts w:ascii="Garamond" w:cs="Garamond" w:eastAsia="Garamond" w:hAnsi="Garamond"/>
          <w:b w:val="1"/>
          <w:bCs w:val="1"/>
          <w:color w:val="000000"/>
          <w:rtl w:val="0"/>
        </w:rPr>
        <w:t xml:space="preserve">odio di sé</w:t>
      </w:r>
      <w:r w:rsidDel="00000000" w:rsidR="00000000" w:rsidRPr="00000000">
        <w:rPr>
          <w:rFonts w:ascii="Garamond" w:cs="Garamond" w:eastAsia="Garamond" w:hAnsi="Garamond"/>
          <w:color w:val="000000"/>
          <w:rtl w:val="0"/>
        </w:rPr>
        <w:t xml:space="preserve"> la persona vive sé stessa come intrinsecamente sbagliata o non meritevole di amore, cura e rispetto.</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Le persone sono fortemente motivate a disconfermare le credenze patogene poiché queste limitano l’autonomia, ostacolano il benessere e generano sofferenza. Il principale meccanismo attraverso cui l’individuo tenta di disconfermarle viene chiamato </w:t>
      </w:r>
      <w:r w:rsidDel="00000000" w:rsidR="00000000" w:rsidRPr="00000000">
        <w:rPr>
          <w:rFonts w:ascii="Garamond" w:cs="Garamond" w:eastAsia="Garamond" w:hAnsi="Garamond"/>
          <w:b w:val="1"/>
          <w:bCs w:val="1"/>
          <w:color w:val="000000"/>
          <w:rtl w:val="0"/>
        </w:rPr>
        <w:t xml:space="preserve">testing</w:t>
      </w:r>
      <w:r w:rsidDel="00000000" w:rsidR="00000000" w:rsidRPr="00000000">
        <w:rPr>
          <w:rFonts w:ascii="Garamond" w:cs="Garamond" w:eastAsia="Garamond" w:hAnsi="Garamond"/>
          <w:color w:val="000000"/>
          <w:rtl w:val="0"/>
        </w:rPr>
        <w:t xml:space="preserve">. Attraverso i test, la persona mette alla prova, in modo consapevole o inconsapevole, le aspettative costruite a partire dalle esperienze traumatiche passate, verificando se esse trovino conferma nel presente o se possano essere progressivamente disconfermate. Ogni comportamento, comunicazione o atteggiamento che una persona assume nelle relazioni significative e, in modo particolare, nella relazione terapeutica, può includere una dimensione di testing.</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Poiché le credenze hanno avuto in origine una funzione protettiva, ogni test comporta un rischio di ri-traumatizzazione. Esporsi alla verifica di una credenza patogena significa confrontarsi con la possibilità che l’altro risponda in modo coerente con il trauma originario, confermando la pericolosità dei propri bisogni e obiettivi sani. In questa prospettiva il testing può essere compreso come un equilibrio tra la speranza di una esperienza trasformativa e il timore di un nuovo trauma relazionale.</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La Control-Mastery Theory descrive tre modalità attraverso cui le persone mettono alla prova le proprie credenze patogene nel rapporto con le persone significative. Nei </w:t>
      </w:r>
      <w:r w:rsidDel="00000000" w:rsidR="00000000" w:rsidRPr="00000000">
        <w:rPr>
          <w:rFonts w:ascii="Garamond" w:cs="Garamond" w:eastAsia="Garamond" w:hAnsi="Garamond"/>
          <w:b w:val="1"/>
          <w:bCs w:val="1"/>
          <w:color w:val="000000"/>
          <w:rtl w:val="0"/>
        </w:rPr>
        <w:t xml:space="preserve">test di transfert</w:t>
      </w:r>
      <w:r w:rsidDel="00000000" w:rsidR="00000000" w:rsidRPr="00000000">
        <w:rPr>
          <w:rFonts w:ascii="Garamond" w:cs="Garamond" w:eastAsia="Garamond" w:hAnsi="Garamond"/>
          <w:color w:val="000000"/>
          <w:rtl w:val="0"/>
        </w:rPr>
        <w:t xml:space="preserve"> la persona ripropone configurazioni relazionali traumatiche del passato nelle relazioni attuali, attribuendo all’altro caratteristiche simili a quelle del caregiver traumatizzante mentre si colloca nella posizione del Sé vulnerabile e ferito. Tali test possono assumere una modalità </w:t>
      </w:r>
      <w:r w:rsidDel="00000000" w:rsidR="00000000" w:rsidRPr="00000000">
        <w:rPr>
          <w:rFonts w:ascii="Garamond" w:cs="Garamond" w:eastAsia="Garamond" w:hAnsi="Garamond"/>
          <w:b w:val="1"/>
          <w:bCs w:val="1"/>
          <w:color w:val="000000"/>
          <w:rtl w:val="0"/>
        </w:rPr>
        <w:t xml:space="preserve">compiacente</w:t>
      </w:r>
      <w:r w:rsidDel="00000000" w:rsidR="00000000" w:rsidRPr="00000000">
        <w:rPr>
          <w:rFonts w:ascii="Garamond" w:cs="Garamond" w:eastAsia="Garamond" w:hAnsi="Garamond"/>
          <w:color w:val="000000"/>
          <w:rtl w:val="0"/>
        </w:rPr>
        <w:t xml:space="preserve">, in cui la persona si comporta come se la credenza fosse vera, riproducendo passivamente la relazione traumatica, oppure una modalità </w:t>
      </w:r>
      <w:r w:rsidDel="00000000" w:rsidR="00000000" w:rsidRPr="00000000">
        <w:rPr>
          <w:rFonts w:ascii="Garamond" w:cs="Garamond" w:eastAsia="Garamond" w:hAnsi="Garamond"/>
          <w:b w:val="1"/>
          <w:bCs w:val="1"/>
          <w:color w:val="000000"/>
          <w:rtl w:val="0"/>
        </w:rPr>
        <w:t xml:space="preserve">ribelle</w:t>
      </w:r>
      <w:r w:rsidDel="00000000" w:rsidR="00000000" w:rsidRPr="00000000">
        <w:rPr>
          <w:rFonts w:ascii="Garamond" w:cs="Garamond" w:eastAsia="Garamond" w:hAnsi="Garamond"/>
          <w:color w:val="000000"/>
          <w:rtl w:val="0"/>
        </w:rPr>
        <w:t xml:space="preserve">, in cui si comporta in modo contrario alla credenza patogena per vedere se l’altro reagirà con critiche, rifiuto o se si sentirà ferito.</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Nei </w:t>
      </w:r>
      <w:r w:rsidDel="00000000" w:rsidR="00000000" w:rsidRPr="00000000">
        <w:rPr>
          <w:rFonts w:ascii="Garamond" w:cs="Garamond" w:eastAsia="Garamond" w:hAnsi="Garamond"/>
          <w:b w:val="1"/>
          <w:bCs w:val="1"/>
          <w:color w:val="000000"/>
          <w:rtl w:val="0"/>
        </w:rPr>
        <w:t xml:space="preserve">test da passivo in attivo</w:t>
      </w:r>
      <w:r w:rsidDel="00000000" w:rsidR="00000000" w:rsidRPr="00000000">
        <w:rPr>
          <w:rFonts w:ascii="Garamond" w:cs="Garamond" w:eastAsia="Garamond" w:hAnsi="Garamond"/>
          <w:color w:val="000000"/>
          <w:rtl w:val="0"/>
        </w:rPr>
        <w:t xml:space="preserve"> i ruoli vengono invertiti: la persona assume inconsciamente il ruolo del caregiver traumatizzante mentre all’altro viene attribuita la posizione del Sé infantile vulnerabile e traumatizzato. Anche in questo caso il test può esprimersi in forma </w:t>
      </w:r>
      <w:r w:rsidDel="00000000" w:rsidR="00000000" w:rsidRPr="00000000">
        <w:rPr>
          <w:rFonts w:ascii="Garamond" w:cs="Garamond" w:eastAsia="Garamond" w:hAnsi="Garamond"/>
          <w:b w:val="1"/>
          <w:bCs w:val="1"/>
          <w:color w:val="000000"/>
          <w:rtl w:val="0"/>
        </w:rPr>
        <w:t xml:space="preserve">compiacente</w:t>
      </w:r>
      <w:r w:rsidDel="00000000" w:rsidR="00000000" w:rsidRPr="00000000">
        <w:rPr>
          <w:rFonts w:ascii="Garamond" w:cs="Garamond" w:eastAsia="Garamond" w:hAnsi="Garamond"/>
          <w:color w:val="000000"/>
          <w:rtl w:val="0"/>
        </w:rPr>
        <w:t xml:space="preserve">, quando la persona tratta l’altro nello stesso modo in cui è stata trattata in passato ricreando l’esperienza traumatica, oppure in forma </w:t>
      </w:r>
      <w:r w:rsidDel="00000000" w:rsidR="00000000" w:rsidRPr="00000000">
        <w:rPr>
          <w:rFonts w:ascii="Garamond" w:cs="Garamond" w:eastAsia="Garamond" w:hAnsi="Garamond"/>
          <w:b w:val="1"/>
          <w:bCs w:val="1"/>
          <w:color w:val="000000"/>
          <w:rtl w:val="0"/>
        </w:rPr>
        <w:t xml:space="preserve">ribelle</w:t>
      </w:r>
      <w:r w:rsidDel="00000000" w:rsidR="00000000" w:rsidRPr="00000000">
        <w:rPr>
          <w:rFonts w:ascii="Garamond" w:cs="Garamond" w:eastAsia="Garamond" w:hAnsi="Garamond"/>
          <w:color w:val="000000"/>
          <w:rtl w:val="0"/>
        </w:rPr>
        <w:t xml:space="preserve">, quando interagisce con l’altro secondo modalità che riflettono ciò di cui avrebbe avuto bisogno nelle relazioni primarie, sperando che questa nuova configurazione venga accolta e validata.</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Nei </w:t>
      </w:r>
      <w:r w:rsidDel="00000000" w:rsidR="00000000" w:rsidRPr="00000000">
        <w:rPr>
          <w:rFonts w:ascii="Garamond" w:cs="Garamond" w:eastAsia="Garamond" w:hAnsi="Garamond"/>
          <w:b w:val="1"/>
          <w:bCs w:val="1"/>
          <w:color w:val="000000"/>
          <w:rtl w:val="0"/>
        </w:rPr>
        <w:t xml:space="preserve">test osservativi</w:t>
      </w:r>
      <w:r w:rsidDel="00000000" w:rsidR="00000000" w:rsidRPr="00000000">
        <w:rPr>
          <w:rFonts w:ascii="Garamond" w:cs="Garamond" w:eastAsia="Garamond" w:hAnsi="Garamond"/>
          <w:color w:val="000000"/>
          <w:rtl w:val="0"/>
        </w:rPr>
        <w:t xml:space="preserve">, invece, la persona non agisce direttamente nella relazione ma osserva attentamente il comportamento delle persone significative per capire se l’altro possiede caratteristiche diverse dai genitori traumatizzanti o qualità e capacità di cui sente di avere bisogno per la propria crescita.</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Nel tentativo di sentirsi sufficientemente al sicuro per perseguire i propri obiettivi evolutivi e disconfermare le credenze patogene, ogni interazione con l’altro diventa quindi un’occasione in cui la persona osserva se e in che misura la risposta ricevuta sia coerente con i propri bisogni di riconoscimento e protezione. Il processo di testing può essere visto come un atto di speranza: la persona accetta di esporsi al rischio relazionale nel tentativo di trovare un’esperienza nuova che le consenta di disconfermare le proprie credenze patogene, abbandonare schemi disfunzionali e perseguire obiettivi di realizzazione e benessere.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426" w:right="701"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Questa lettura risulta particolarmente utile per comprendere fenomeni relazionalmente significativi come il </w:t>
      </w:r>
      <w:r w:rsidDel="00000000" w:rsidR="00000000" w:rsidRPr="00000000">
        <w:rPr>
          <w:rFonts w:ascii="Garamond" w:cs="Garamond" w:eastAsia="Garamond" w:hAnsi="Garamond"/>
          <w:b w:val="1"/>
          <w:bCs w:val="1"/>
          <w:color w:val="000000"/>
          <w:rtl w:val="0"/>
        </w:rPr>
        <w:t xml:space="preserve">coming out</w:t>
      </w:r>
      <w:r w:rsidDel="00000000" w:rsidR="00000000" w:rsidRPr="00000000">
        <w:rPr>
          <w:rFonts w:ascii="Garamond" w:cs="Garamond" w:eastAsia="Garamond" w:hAnsi="Garamond"/>
          <w:color w:val="000000"/>
          <w:rtl w:val="0"/>
        </w:rPr>
        <w:t xml:space="preserve">, che può essere visto non solo come atto identitario o comunicativo, ma come un </w:t>
      </w:r>
      <w:r w:rsidDel="00000000" w:rsidR="00000000" w:rsidRPr="00000000">
        <w:rPr>
          <w:rFonts w:ascii="Garamond" w:cs="Garamond" w:eastAsia="Garamond" w:hAnsi="Garamond"/>
          <w:b w:val="1"/>
          <w:bCs w:val="1"/>
          <w:color w:val="000000"/>
          <w:rtl w:val="0"/>
        </w:rPr>
        <w:t xml:space="preserve">test relazionale</w:t>
      </w:r>
      <w:r w:rsidDel="00000000" w:rsidR="00000000" w:rsidRPr="00000000">
        <w:rPr>
          <w:rFonts w:ascii="Garamond" w:cs="Garamond" w:eastAsia="Garamond" w:hAnsi="Garamond"/>
          <w:color w:val="000000"/>
          <w:rtl w:val="0"/>
        </w:rPr>
        <w:t xml:space="preserve">, in cui sono in gioco credenze profonde relative all’amore, all’autenticità, alla sicurezza relazionale e alla possibilità di essere accolti per ciò che si è all’interno di legami significativi.</w:t>
      </w:r>
    </w:p>
    <w:p w:rsidR="00000000" w:rsidDel="00000000" w:rsidP="00000000" w:rsidRDefault="00000000" w:rsidRPr="00000000" w14:paraId="00000010">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11">
      <w:pPr>
        <w:pStyle w:val="Heading3"/>
        <w:spacing w:before="0" w:line="360" w:lineRule="auto"/>
        <w:ind w:left="567" w:right="567" w:firstLine="283.9999999999999"/>
        <w:rPr>
          <w:rFonts w:ascii="Garamond" w:cs="Garamond" w:eastAsia="Garamond" w:hAnsi="Garamond"/>
          <w:b w:val="1"/>
          <w:bCs w:val="1"/>
          <w:color w:val="000000"/>
          <w:u w:val="none"/>
        </w:rPr>
      </w:pPr>
      <w:r w:rsidDel="00000000" w:rsidR="00000000" w:rsidRPr="00000000">
        <w:rPr>
          <w:rFonts w:ascii="Garamond" w:cs="Garamond" w:eastAsia="Garamond" w:hAnsi="Garamond"/>
          <w:b w:val="1"/>
          <w:bCs w:val="1"/>
          <w:color w:val="000000"/>
          <w:u w:val="none"/>
          <w:rtl w:val="0"/>
        </w:rPr>
        <w:t xml:space="preserve">IL COMING OUT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Con il termine coming out si intende la rivelazione del proprio orientamento sessuale e/o identità di genere ad altre persone. Negli studi psicologici sullo sviluppo dell’identità LGBT+, il coming out occupa una posizione centrale in quanto considerato uno dei passaggi più significativi del percorso identitario; tuttavia, dal punto di vista psicologico, tale esperienza non può essere ridotta a un semplice atto comunicativo. Esso rappresenta piuttosto un processo complesso che coinvolge la costruzione del Sé, la regolazione delle relazioni affettive e la valutazione del contesto relazionale in termini di sicurezza e riconoscimento.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Psicologicamente, il coming out può essere inteso come il passaggio dal silenzio alla visibilità, ovvero dal mantenere nascoste parti centrali della propria identità alla possibilità di condividerle nelle relazioni significative e contesti sociali. In questo movimento, l’espressione di sé si accompagna inevitabilmente a vissuti di vulnerabilità, poiché dichiararsi implica esporsi al giudizio dell’altro e al rischio di rifiuto, svalutazione o perdita del legame.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Nei modelli psicologici classici, il coming out è stato prevalentemente concettualizzato come una tappa dello sviluppo identitario. I modelli di Cass (1979), Coleman (1982), Troiden (1989) lo hanno descritto come una fase attraverso cui la persona integra progressivamente il proprio orientamento sessuale o la propria identità di genere, costruendo una maggiore coerenza tra il Sé interno e il Sé relazionale. In questa prospettiva, il dichiararsi assume il valore di un momento evolutivo rilevante, associato a una maggiore autenticità e a un consolidamento dell’identità. Al tempo stesso, tali modelli hanno sottolineato come il percorso del coming out non sia lineare né uniforme: tempi, modalità e destinatari della rivelazione variano in funzione delle risorse personali, delle esperienze affettive e delle condizioni del contesto sociale.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Accanto alla dimensione evolutiva, la letteratura ha progressivamente messo in evidenza la natura profondamente relazionale e contestuale del coming out. Dichiararsi significa negoziare la propria identità all’interno di legami familiari, amicali e professionali, osservando le risposte dell’altro in termini di riconoscimento, sostegno o rifiuto. In questa prospettiva, il coming out non coincide con un singolo evento, ma si configura come una serie di micro-processi di rivelazione e di riconoscimento reciproco, che si sviluppano nel tempo e in contesti differenti. Studi empirici, come quelli di Rosario e colleghi (2001), hanno mostrato come la decisione di fare coming out sia modulata dalla percezione di supporto sociale e dalla sicurezza del contesto, evidenziando che anche la scelta di non dichiararsi può assumere una funzione adattiva di protezione del Sé.</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Numerosi contributi di ricerca hanno inoltre documentato gli effetti psicologici potenzialmente positivi del coming out, in particolare quando esso avviene in contesti relazionali accoglienti. La letteratura internazionale indica che la possibilità di rendere visibili aspetti centrali della propria identità è associata a una maggiore integrazione del Sé, a una riduzione del conflitto interno e a un rafforzamento dell’autostima (Meyer, 2003). In tali condizioni, il coming out può favorire processi di sviluppo identitario più stabili e coerenti, contribuendo al benessere psicologico e a un migliore adattamento nei diversi contesti di vita.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ambito italiano, lo studio di Baiocco e colleghi (2019) ha offerto un contributo alla comprensione del ruolo delle reazioni familiari al coming out dei/delle figli/figlie. I risultati mostrano come le risposte positive da parte delle figure significative costituiscano un fattore cruciale per il benessere e l’adattamento delle persone lesbiche e gay. In particolare, emerge che i padri tendono a reagire in modo complessivamente più positivo rispetto alle madri, indipendentemente dal genere delle figlie o dei figli, mentre fratelli e sorelle si configurano come una risorsa relazionale significativa, assumendo una funzione protettiva. Lo studio evidenzia inoltre una differenziazione nel contributo genitoriale: reazioni materne marcatamente positive risultano associate a un maggiore benessere psicologico globale, mentre le reazioni positive dei padri sembrano incidere più specificamente sullo sviluppo di un’identità sessuale positiva. Tali dati sottolineano come gli effetti del coming out non siano automatici, ma dipendano in modo sostanziale dalla qualità delle risposte relazionali ricevute.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Il coming out come test relazionale nei contesti significativi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Sin dai primi anni di vita, bambini e bambine esprimono spontaneamente chi sono: le proprie caratteristiche, interessi, passioni: non si tratta di atti “consapevoli”, non stanno pensando a strategie su come e quando dire o mostrare di sé, ma semplicemente manifestano in modo naturale chi sono. In questa manifestazione di sé, tuttavia, i segnali provenienti dall’ambiente e dai genitori svolgono un ruolo fondamentale. Sguardi di imbarazzo, parole di disapprovazione, punizioni o forme più sottili di non accettazione comunicano al/alla bambino/a che alcune parti di loro generano disagio, rifiuto o rabbia. A partire da queste esperienze relazionali precoci reali, il/la bambino/a può arrivare a credere che la l’espressione autentica di sé, sia pericolosa per sé e per gli altri, ad esempio: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numPr>
          <w:ilvl w:val="0"/>
          <w:numId w:val="1"/>
        </w:numPr>
        <w:spacing w:line="360" w:lineRule="auto"/>
        <w:ind w:left="567" w:right="567" w:firstLine="283.9999999999999"/>
        <w:rPr/>
      </w:pPr>
      <w:r w:rsidDel="00000000" w:rsidR="00000000" w:rsidRPr="00000000">
        <w:rPr>
          <w:rFonts w:ascii="Garamond" w:cs="Garamond" w:eastAsia="Garamond" w:hAnsi="Garamond"/>
          <w:rtl w:val="0"/>
        </w:rPr>
        <w:t xml:space="preserve">“La mia identità è fonte di vergogna negli altri”;</w:t>
      </w:r>
    </w:p>
    <w:p w:rsidR="00000000" w:rsidDel="00000000" w:rsidP="00000000" w:rsidRDefault="00000000" w:rsidRPr="00000000" w14:paraId="0000001D">
      <w:pPr>
        <w:numPr>
          <w:ilvl w:val="0"/>
          <w:numId w:val="1"/>
        </w:numPr>
        <w:spacing w:line="360" w:lineRule="auto"/>
        <w:ind w:left="567" w:right="567" w:firstLine="283.9999999999999"/>
        <w:rPr/>
      </w:pPr>
      <w:r w:rsidDel="00000000" w:rsidR="00000000" w:rsidRPr="00000000">
        <w:rPr>
          <w:rFonts w:ascii="Garamond" w:cs="Garamond" w:eastAsia="Garamond" w:hAnsi="Garamond"/>
          <w:rtl w:val="0"/>
        </w:rPr>
        <w:t xml:space="preserve">“Se sono del tutto me stesso, sarò criticato dagli altri”. </w:t>
      </w:r>
    </w:p>
    <w:p w:rsidR="00000000" w:rsidDel="00000000" w:rsidP="00000000" w:rsidRDefault="00000000" w:rsidRPr="00000000" w14:paraId="0000001E">
      <w:pPr>
        <w:numPr>
          <w:ilvl w:val="0"/>
          <w:numId w:val="1"/>
        </w:numPr>
        <w:spacing w:line="360" w:lineRule="auto"/>
        <w:ind w:left="567" w:right="567" w:firstLine="283.9999999999999"/>
        <w:rPr/>
      </w:pPr>
      <w:r w:rsidDel="00000000" w:rsidR="00000000" w:rsidRPr="00000000">
        <w:rPr>
          <w:rFonts w:ascii="Garamond" w:cs="Garamond" w:eastAsia="Garamond" w:hAnsi="Garamond"/>
          <w:rtl w:val="0"/>
        </w:rPr>
        <w:t xml:space="preserve"> “Se mostro chi sono veramente, perderò l’amore delle persone importanti”;</w:t>
      </w:r>
    </w:p>
    <w:p w:rsidR="00000000" w:rsidDel="00000000" w:rsidP="00000000" w:rsidRDefault="00000000" w:rsidRPr="00000000" w14:paraId="0000001F">
      <w:pPr>
        <w:numPr>
          <w:ilvl w:val="0"/>
          <w:numId w:val="1"/>
        </w:numPr>
        <w:spacing w:line="360" w:lineRule="auto"/>
        <w:ind w:left="567" w:right="567" w:firstLine="283.9999999999999"/>
        <w:rPr/>
      </w:pPr>
      <w:r w:rsidDel="00000000" w:rsidR="00000000" w:rsidRPr="00000000">
        <w:rPr>
          <w:rFonts w:ascii="Garamond" w:cs="Garamond" w:eastAsia="Garamond" w:hAnsi="Garamond"/>
          <w:rtl w:val="0"/>
        </w:rPr>
        <w:t xml:space="preserve">“La mia autenticità ferisce chi amo”;</w:t>
      </w:r>
    </w:p>
    <w:p w:rsidR="00000000" w:rsidDel="00000000" w:rsidP="00000000" w:rsidRDefault="00000000" w:rsidRPr="00000000" w14:paraId="00000020">
      <w:pPr>
        <w:numPr>
          <w:ilvl w:val="0"/>
          <w:numId w:val="1"/>
        </w:numPr>
        <w:spacing w:line="360" w:lineRule="auto"/>
        <w:ind w:left="567" w:right="567" w:firstLine="283.9999999999999"/>
        <w:rPr/>
      </w:pPr>
      <w:r w:rsidDel="00000000" w:rsidR="00000000" w:rsidRPr="00000000">
        <w:rPr>
          <w:rFonts w:ascii="Garamond" w:cs="Garamond" w:eastAsia="Garamond" w:hAnsi="Garamond"/>
          <w:rtl w:val="0"/>
        </w:rPr>
        <w:t xml:space="preserve">“Essere me stesso è egoistico o pericoloso”.</w:t>
      </w:r>
    </w:p>
    <w:p w:rsidR="00000000" w:rsidDel="00000000" w:rsidP="00000000" w:rsidRDefault="00000000" w:rsidRPr="00000000" w14:paraId="00000021">
      <w:pPr>
        <w:spacing w:line="360" w:lineRule="auto"/>
        <w:ind w:left="851" w:right="567" w:firstLine="0"/>
        <w:rPr>
          <w:rFonts w:ascii="Garamond" w:cs="Garamond" w:eastAsia="Garamond" w:hAnsi="Garamond"/>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Poiché le persone sono intrinsecamente motivate a disconfermare le proprie credenze patogene — in quanto limitano il loro benessere — per le persone LGBT+ il coming out può configurarsi come un test attraverso il quale verificano attivamente la sicurezza dell’ambiente interpersonale, esplorando se la propria identità rappresenti ancora una minaccia per i legami affettivi oppure possa essere espressa senza generare sofferenza o perdita. Il coming out può, inoltre, testare credenze patogene che non riguardano necessariamente l’identità LGBT+ in sé, ma che si sono sviluppate prima della consapevolezza del proprio orientamento sessuale e/o identità di genere, ad esempio: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l’idea che l’espressione autentica di sé possa ferire o destabilizzare le figure significative;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convinzione che la diversità rappresenti un peso o una delusione per l’altro;</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credenza che perseguire i propri bisogni sani comporti un rischio di rifiuto o abbandono.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Dichiararsi non equivale a una scelta binaria, dire o non dire, ma costituisce, spesso, un percorso graduale, in cui l’individuo esplora la possibilità di mettere alla prova le proprie convinzioni patogene, con la speranza che possano essere disconfermate.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coming out, ha una duplice valenza: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da un lato rappresenta una spinta adattiva e di speranza, poiché la persona cerca risposte nuove e positive che le permettano di modificare le credenze patogene e ampliare la propria esperienza di sicurezza;</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dall’altro comporta il rischio di ri-traumatizzazione, perché esporsi significa affrontare la possibilità di ricevere risposte simili a quelle traumatizzanti del passato.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Dato l’elevato rischio di ri-traumatizzazione, il coming out come test relazionale raramente si configura come un evento unico, ma si svolge piuttosto come un percorso graduale e modulato, in cui la persona adatta, in base alle circostanze, il grado di apertura all’interno di legami emotivamente rilevanti, bilanciando il bisogno di autenticità e il bisogno di sicurezza relazionale.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Le diverse modalità con cui il coming out viene realizzato (selettivo, parziale, graduale) non indicano, pertanto, una minore integrazione identitaria, ma riflettono strategie adattive di gestione della sicurezza relazionale, per cui la persona valuta, di volta in volta:</w:t>
      </w:r>
    </w:p>
    <w:p w:rsidR="00000000" w:rsidDel="00000000" w:rsidP="00000000" w:rsidRDefault="00000000" w:rsidRPr="00000000" w14:paraId="0000002E">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 il/la destinatario/a della comunicazione, </w:t>
      </w:r>
      <w:r w:rsidDel="00000000" w:rsidR="00000000" w:rsidRPr="00000000">
        <w:rPr>
          <w:rFonts w:ascii="Garamond" w:cs="Garamond" w:eastAsia="Garamond" w:hAnsi="Garamond"/>
          <w:i w:val="1"/>
          <w:iCs w:val="1"/>
          <w:rtl w:val="0"/>
        </w:rPr>
        <w:t xml:space="preserve">a chi dirlo:</w:t>
      </w:r>
      <w:r w:rsidDel="00000000" w:rsidR="00000000" w:rsidRPr="00000000">
        <w:rPr>
          <w:rFonts w:ascii="Garamond" w:cs="Garamond" w:eastAsia="Garamond" w:hAnsi="Garamond"/>
          <w:rtl w:val="0"/>
        </w:rPr>
        <w:t xml:space="preserve"> la persona seleziona gli interlocutori percepiti come relativamente sicuri, spesso iniziando da amici e amiche fidati o figure familiari considerate supportive, prima di esporsi ad altri contesti più complessi o potenzialmente rischiosi;</w:t>
      </w:r>
    </w:p>
    <w:p w:rsidR="00000000" w:rsidDel="00000000" w:rsidP="00000000" w:rsidRDefault="00000000" w:rsidRPr="00000000" w14:paraId="0000002F">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 il momento scelto, </w:t>
      </w:r>
      <w:r w:rsidDel="00000000" w:rsidR="00000000" w:rsidRPr="00000000">
        <w:rPr>
          <w:rFonts w:ascii="Garamond" w:cs="Garamond" w:eastAsia="Garamond" w:hAnsi="Garamond"/>
          <w:i w:val="1"/>
          <w:iCs w:val="1"/>
          <w:rtl w:val="0"/>
        </w:rPr>
        <w:t xml:space="preserve">quando dirlo</w:t>
      </w:r>
      <w:r w:rsidDel="00000000" w:rsidR="00000000" w:rsidRPr="00000000">
        <w:rPr>
          <w:rFonts w:ascii="Garamond" w:cs="Garamond" w:eastAsia="Garamond" w:hAnsi="Garamond"/>
          <w:rtl w:val="0"/>
        </w:rPr>
        <w:t xml:space="preserve">: il momento della rivelazione è scelto in funzione della percezione di disponibilità emotiva dell’altro, della propria stabilità, della presenza di fattori esterni che possano garantire un minimo di sicurezza e la sensazione di poter tollerare il rischio dell’esposizione e le possibili reazioni negative dell’altro senza sentirsi sopraffatti o distrutti/e.</w:t>
      </w:r>
    </w:p>
    <w:p w:rsidR="00000000" w:rsidDel="00000000" w:rsidP="00000000" w:rsidRDefault="00000000" w:rsidRPr="00000000" w14:paraId="00000030">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la forma linguistica ed emotiva, </w:t>
      </w:r>
      <w:r w:rsidDel="00000000" w:rsidR="00000000" w:rsidRPr="00000000">
        <w:rPr>
          <w:rFonts w:ascii="Garamond" w:cs="Garamond" w:eastAsia="Garamond" w:hAnsi="Garamond"/>
          <w:i w:val="1"/>
          <w:iCs w:val="1"/>
          <w:rtl w:val="0"/>
        </w:rPr>
        <w:t xml:space="preserve">come dirlo</w:t>
      </w:r>
      <w:r w:rsidDel="00000000" w:rsidR="00000000" w:rsidRPr="00000000">
        <w:rPr>
          <w:rFonts w:ascii="Garamond" w:cs="Garamond" w:eastAsia="Garamond" w:hAnsi="Garamond"/>
          <w:rtl w:val="0"/>
        </w:rPr>
        <w:t xml:space="preserve">: l’individuo calibra il linguaggio e le modalità espressive (ad esempio usando un linguaggio distaccato oppure parlando più apertamente dei suoi vissuti emotivi) testando la risposta e reazione dell’altro attraverso segnali di accoglienza e supporto oppure di disagio e chiusura;</w:t>
      </w:r>
    </w:p>
    <w:p w:rsidR="00000000" w:rsidDel="00000000" w:rsidP="00000000" w:rsidRDefault="00000000" w:rsidRPr="00000000" w14:paraId="00000031">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il grado di esposizione consentito, </w:t>
      </w:r>
      <w:r w:rsidDel="00000000" w:rsidR="00000000" w:rsidRPr="00000000">
        <w:rPr>
          <w:rFonts w:ascii="Garamond" w:cs="Garamond" w:eastAsia="Garamond" w:hAnsi="Garamond"/>
          <w:i w:val="1"/>
          <w:iCs w:val="1"/>
          <w:rtl w:val="0"/>
        </w:rPr>
        <w:t xml:space="preserve">quanto dire</w:t>
      </w:r>
      <w:r w:rsidDel="00000000" w:rsidR="00000000" w:rsidRPr="00000000">
        <w:rPr>
          <w:rFonts w:ascii="Garamond" w:cs="Garamond" w:eastAsia="Garamond" w:hAnsi="Garamond"/>
          <w:rtl w:val="0"/>
        </w:rPr>
        <w:t xml:space="preserve">: la persona valuta quanto di sé può mostrare (ad esempio parlando della propria identità senza entrare nella dimensione affettiva o relazionale, vissuta come più intima e potenzialmente più rischiosa), valutando, in base alla reazione dell’altro, il grado di esposizione sicura.</w:t>
      </w:r>
    </w:p>
    <w:p w:rsidR="00000000" w:rsidDel="00000000" w:rsidP="00000000" w:rsidRDefault="00000000" w:rsidRPr="00000000" w14:paraId="00000032">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IL COMING OUT COME TEST DEI SENSI DI COLPA INTERPERSONALI</w:t>
      </w:r>
    </w:p>
    <w:p w:rsidR="00000000" w:rsidDel="00000000" w:rsidP="00000000" w:rsidRDefault="00000000" w:rsidRPr="00000000" w14:paraId="00000034">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35">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I sensi di colpa interpersonali svolgono un ruolo centrale nel determinare il tipo di “test” che le persone LGBT+ possono inconsciamente mettere in atto per verificare la sicurezza affettiva del legame.</w:t>
      </w:r>
    </w:p>
    <w:p w:rsidR="00000000" w:rsidDel="00000000" w:rsidP="00000000" w:rsidRDefault="00000000" w:rsidRPr="00000000" w14:paraId="00000036">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37">
      <w:pPr>
        <w:spacing w:line="360" w:lineRule="auto"/>
        <w:ind w:left="567" w:right="567" w:firstLine="283.9999999999999"/>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Coming out e senso di colpa da separazione / slealtà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Quando prevale il senso di colpa da separazione/slealtà, il coming out può assumere la funzione di test relazionale volto a verificare se sia possibile differenziarsi dalle aspettative familiari e sociali eteronormative o cisnormative senza compromettere la stabilità del legame né generare nell’ altro vissuti di abbandono o sofferenza.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Marta, una donna lesbica, cresce in una famiglia molto legata a valori tradizionali, il cui il futuro era già “scritto”: che si sarebbe creata presto una famiglia con un uomo con cui avrebbe avuto dei bambini. I genitori le chiedono costantemente quando “metterà su famiglia, perché non vedono l’ora di diventare nonni”.  Sentendo di non corrispondere a quel modello, e per paura di deluderli rispetto alla sua identità, decide di trasferirsi in un’altra città, inizialmente con la scusa dell’università, ma soprattutto per poter vivere più liberamente la sua identità.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Dopo la laurea trova lavoro e inizia una relazione stabile con una donna. Tuttavia non riesce a fare coming out con i genitori: il senso di colpa da slealtà le fa temere di tradire le loro aspettative e di deluderli. Per proteggere il legame familiare preferisce quindi mantenere il silenzio.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Questa scelta si riflette inevitabilmente anche nella coppia. Pur desiderando una vita insieme, Marta rimanda continuamente la convivenza, che implicherebbe un coming out con i suoi genitori, generando forti tensioni con la compagna, che fatica a comprendere i continui rinvii. Marta rimanda sempre la decisone, sostenendo che “non è il momento giusto”: prima a causa della precarietà lavorativa, poi per la difficoltà di trovare una casa adatta o la necessità di aspettare condizioni migliori, trasformando ogni passo verso la convivenza in un problema complicato. Quando la compagna ribadisce il desiderio di andare a vivere insieme, Marta finisce talvolta per minimizzarne i suoi bisogni, accusandola di metterle pressione e di correre troppo. Rimandare significa evitare di affrontare il coming out con i genitori, che per Marta equivarrebbe a “tradirli” e ferirli, mettendo in pericolo il legame con loro. La sua priorità resta, pertanto, proteggere la relazione con i genitori e tutelare il loro benessere, anche se questo comporta rinunciare, almeno in parte, ai propri desideri.</w:t>
      </w:r>
    </w:p>
    <w:p w:rsidR="00000000" w:rsidDel="00000000" w:rsidP="00000000" w:rsidRDefault="00000000" w:rsidRPr="00000000" w14:paraId="0000003E">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3F">
      <w:pPr>
        <w:pStyle w:val="Heading3"/>
        <w:spacing w:before="0" w:line="360" w:lineRule="auto"/>
        <w:ind w:left="567" w:right="567" w:firstLine="283.9999999999999"/>
        <w:rPr>
          <w:rFonts w:ascii="Garamond" w:cs="Garamond" w:eastAsia="Garamond" w:hAnsi="Garamond"/>
          <w:b w:val="1"/>
          <w:bCs w:val="1"/>
          <w:color w:val="000000"/>
          <w:u w:val="none"/>
        </w:rPr>
      </w:pPr>
      <w:r w:rsidDel="00000000" w:rsidR="00000000" w:rsidRPr="00000000">
        <w:rPr>
          <w:rFonts w:ascii="Garamond" w:cs="Garamond" w:eastAsia="Garamond" w:hAnsi="Garamond"/>
          <w:b w:val="1"/>
          <w:bCs w:val="1"/>
          <w:color w:val="000000"/>
          <w:u w:val="none"/>
          <w:rtl w:val="0"/>
        </w:rPr>
        <w:t xml:space="preserve">Coming out e senso di colpa da responsabilità onnipotente</w:t>
      </w:r>
    </w:p>
    <w:p w:rsidR="00000000" w:rsidDel="00000000" w:rsidP="00000000" w:rsidRDefault="00000000" w:rsidRPr="00000000" w14:paraId="00000040">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41">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Nel senso di colpa da responsabilità onnipotente, la persona ha sviluppato la credenza patogena secondo cui ha il potere e il dovere di rendere felici e far star bene le persone care e crede che mettere i propri bisogni in primo piano sia un atto di egoismo che causerà inevitabilmente la sofferenza delle persone amate.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567" w:right="134" w:hanging="141"/>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567" w:right="134" w:hanging="141"/>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Emanuele, un uomo di 32 anni, non ha mai fatto coming out con i genitori e vive in segreto la relazione con il proprio compagno. É cresciuto con una madre depressa e un padre emotivamente assente. In particolare, nel rapporto con la madre Emanuele ha vissuto ogni manifestazione di autonomia come potenzialmente minacciosa per la sua stabilità emotiva e sopravvivenza.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Nel corso degli anni Emanuele si è sempre preso cura della madre cercando di aiutarla nella sua depressione: nei momenti di crisi della madre, in cui non mangiava né si prendeva cura di sé, Emanuele non usciva di casa o interrompeva le sue relazioni per restare accanto a lei, perché solo in sua presenza si sforzava di mangiare e di alzarsi dal letto per provvedere al minimo indispensabile dei bisogni primari. In questi momenti, la madre commentava la sua vicinanza e cura con un “se non ci fossi tu…” . In questo clima, Emanuele ha sviluppato la credenza patogena "Se perseguirò  la mia felicità e rivelerò chi sono veramente, allora mia madre crollerà e si lascerà andare e io sarò il responsabile del suo malessere". Questa convinzione è sostenuta dal senso di colpa da responsabilità onnipotente, basato sull'idea di avere il potere e il dovere di prendersi cura della madre e che mettere i propri bisogni al primo posto sia un atto di egoismo. </w:t>
      </w:r>
    </w:p>
    <w:p w:rsidR="00000000" w:rsidDel="00000000" w:rsidP="00000000" w:rsidRDefault="00000000" w:rsidRPr="00000000" w14:paraId="00000044">
      <w:pPr>
        <w:spacing w:line="360" w:lineRule="auto"/>
        <w:ind w:left="567" w:right="567" w:firstLine="283.9999999999999"/>
        <w:rPr>
          <w:rFonts w:ascii="Garamond" w:cs="Garamond" w:eastAsia="Garamond" w:hAnsi="Garamond"/>
          <w:i w:val="1"/>
          <w:iCs w:val="1"/>
        </w:rPr>
      </w:pPr>
      <w:r w:rsidDel="00000000" w:rsidR="00000000" w:rsidRPr="00000000">
        <w:rPr>
          <w:rFonts w:ascii="Garamond" w:cs="Garamond" w:eastAsia="Garamond" w:hAnsi="Garamond"/>
          <w:i w:val="1"/>
          <w:iCs w:val="1"/>
          <w:rtl w:val="0"/>
        </w:rPr>
        <w:t xml:space="preserve">Quando decide di fare coming out, si siede di fronte alla madre e in modo molto cauto e quasi scusandosi (“so che ti sto dando un dolore”, “scusa se ti sto dicendo questo che immagino non ti aiuterà) le dice di essere gay. Attraverso un test di transfert per ribellione, verifica se la madre confermerà la credenza di essere responsabile di una sua ulteriore sofferenza oppure se saprà accogliere la notizia senza crollare emotivamente, disconfermando così la convinzione patogena.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La madre, invece di reagire con disperazione o di accusare il figlio di dargli un ulteriore dolore, ascolta con calma e risponde: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Sono felice che tu me lo abbia finalmente detto. Lo avevo capito e immaginavo che tu non me lo dicessi perché avevi paura di farmi stare male»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Questa risposta non si limita a esprimere accettazione dell’orientamento sessuale del figlio, ma disconferma la credenza patogena da senso di colpa da responsabilità onnipotente che aveva finora guidato le scelte di Emanuele. Le espressioni rassicuranti come «sono felice che tu me lo abbia detto» e «lo avevo capito» svolgono una funzione fondamentale nel processo di disconferma: comunicano che la madre non è stata sopraffatta dalla conoscenza della sua identità nel tempo.  L’atteggiamento accogliente della madre permette a Emanuele di vivere un’esperienza emotiva positiva, rendendo possibile perseguire obiettivi sani di autenticità e visibilità senza percepirli come egoistici, fonte di colpa o minacciosi nei confronti dell’equilibrio emotivo della madre.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Coming out e senso di colpa da burdening</w:t>
      </w:r>
    </w:p>
    <w:p w:rsidR="00000000" w:rsidDel="00000000" w:rsidP="00000000" w:rsidRDefault="00000000" w:rsidRPr="00000000" w14:paraId="00000049">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Quando è centrale il senso di colpa da burdening, il coming out diventa un test della credenza patogena: “Se mostro chi sono e ciò di cui ho bisogno, appesantirò chi amo”.</w:t>
      </w:r>
    </w:p>
    <w:p w:rsidR="00000000" w:rsidDel="00000000" w:rsidP="00000000" w:rsidRDefault="00000000" w:rsidRPr="00000000" w14:paraId="0000004A">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In questi casi, il dichiararsi può essere parziale o accompagnato da una minimizzazione (“Non è una cosa così importante”, “Non cambia nulla per voi”), con l’obiettivo inconscio di testare se sia possibile essere pienamente sé stessi senza gravare sugli altri. Ad esempio un ragazzo trans comunica la propria identità ai suoi genitori, sottolineando che cercherà di “non creare problemi” e di rassicurarli che non farà cambiamenti significativi riguardo l’affermazione di genere perché questo potrebbe causare una fatica emotiva per loro. Una risposta accogliente, che riconosca la legittimità dell’esperienza del figlio senza viverla come un peso, favorisce una disconferma della credenza. Al contrario, reazioni di evitamento o richieste di silenzio confermano la credenza e rafforzano la rinuncia all’espressione autentica.</w:t>
      </w:r>
    </w:p>
    <w:p w:rsidR="00000000" w:rsidDel="00000000" w:rsidP="00000000" w:rsidRDefault="00000000" w:rsidRPr="00000000" w14:paraId="0000004B">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567" w:firstLine="283.9999999999999"/>
        <w:rPr>
          <w:rFonts w:ascii="Garamond" w:cs="Garamond" w:eastAsia="Garamond" w:hAnsi="Garamond"/>
          <w:i w:val="1"/>
          <w:iCs w:val="1"/>
          <w:color w:val="000000"/>
        </w:rPr>
      </w:pPr>
      <w:r w:rsidDel="00000000" w:rsidR="00000000" w:rsidRPr="00000000">
        <w:rPr>
          <w:rFonts w:ascii="Garamond" w:cs="Garamond" w:eastAsia="Garamond" w:hAnsi="Garamond"/>
          <w:i w:val="1"/>
          <w:iCs w:val="1"/>
          <w:color w:val="000000"/>
          <w:rtl w:val="0"/>
        </w:rPr>
        <w:t xml:space="preserve">Marco è un uomo di 29 anni ed è dichiarato nel contesto sociale e professionale, mentre mantiene un assoluto riserbo con i genitori. Marco teme che rivelare il proprio orientamento sessuale significhi dare loro un "pensiero" troppo grande da gestire e che possa compromettere la loro stabilità emotiva.</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567" w:firstLine="283.9999999999999"/>
        <w:rPr>
          <w:rFonts w:ascii="Garamond" w:cs="Garamond" w:eastAsia="Garamond" w:hAnsi="Garamond"/>
          <w:i w:val="1"/>
          <w:iCs w:val="1"/>
          <w:color w:val="000000"/>
        </w:rPr>
      </w:pPr>
      <w:r w:rsidDel="00000000" w:rsidR="00000000" w:rsidRPr="00000000">
        <w:rPr>
          <w:rFonts w:ascii="Garamond" w:cs="Garamond" w:eastAsia="Garamond" w:hAnsi="Garamond"/>
          <w:i w:val="1"/>
          <w:iCs w:val="1"/>
          <w:color w:val="000000"/>
          <w:rtl w:val="0"/>
        </w:rPr>
        <w:t xml:space="preserve">La madre è descritta come una donna fragile e costantemente sopraffatta dalle richieste della famiglia allargata e dai conflitti con i fratelli. Marco ricorda come si lamentasse spesso di "non avere un momento di pace" e di "dover portare sulle spalle il peso di tutti". In questo contesto, Marco, sin da piccolo, ha progressivamente assunto la posizione di "bambino invisibile", inibendo bisogni ed emozioni per non aggiungere ulteriore pressione a una madre già percepita come sovraccarica.</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567" w:firstLine="283.9999999999999"/>
        <w:rPr>
          <w:rFonts w:ascii="Garamond" w:cs="Garamond" w:eastAsia="Garamond" w:hAnsi="Garamond"/>
          <w:i w:val="1"/>
          <w:iCs w:val="1"/>
          <w:color w:val="000000"/>
        </w:rPr>
      </w:pPr>
      <w:r w:rsidDel="00000000" w:rsidR="00000000" w:rsidRPr="00000000">
        <w:rPr>
          <w:rFonts w:ascii="Garamond" w:cs="Garamond" w:eastAsia="Garamond" w:hAnsi="Garamond"/>
          <w:i w:val="1"/>
          <w:iCs w:val="1"/>
          <w:color w:val="000000"/>
          <w:rtl w:val="0"/>
        </w:rPr>
        <w:t xml:space="preserve">Marco, inoltre, racconta che quando esprimeva disagio, tristezza o malessere, i genitori non offrivano accoglienza, ma entravano in uno stato di allarme ed ansia, minimizzando il suo vissuto con frasi quali: «Ma di che ti lamenti? Hai tutto!». Marco coglie precocemente come tale svalutazione sia espressione dell’incapacità dei genitori di "reggere" il suo dolore; la sua sofferenza viene così vissuta come qualcosa che mette in difficoltà l’altro, come un compito troppo gravoso o come segno di fallimento genitoriale. </w:t>
      </w:r>
    </w:p>
    <w:p w:rsidR="00000000" w:rsidDel="00000000" w:rsidP="00000000" w:rsidRDefault="00000000" w:rsidRPr="00000000" w14:paraId="0000004F">
      <w:pPr>
        <w:spacing w:line="360" w:lineRule="auto"/>
        <w:ind w:left="567" w:right="567" w:firstLine="283.9999999999999"/>
        <w:rPr>
          <w:rFonts w:ascii="Garamond" w:cs="Garamond" w:eastAsia="Garamond" w:hAnsi="Garamond"/>
          <w:i w:val="1"/>
          <w:iCs w:val="1"/>
        </w:rPr>
      </w:pPr>
      <w:r w:rsidDel="00000000" w:rsidR="00000000" w:rsidRPr="00000000">
        <w:rPr>
          <w:rFonts w:ascii="Garamond" w:cs="Garamond" w:eastAsia="Garamond" w:hAnsi="Garamond"/>
          <w:i w:val="1"/>
          <w:iCs w:val="1"/>
          <w:rtl w:val="0"/>
        </w:rPr>
        <w:t xml:space="preserve">Su queste esperienze, Marco ha sviluppato una credenza patogena da senso di colpa da burdening: «Il mio modo di essere e i miei bisogni sono un peso per le persone che amo; se esprimo le mie necessità o i miei stati d’animo, questi avranno un impatto negativo sulla stabilità emotiva degli altri». Di conseguenza, anche i vissuti legati alla scoperta della propria omosessualità vengono mantenuti segreti, in quanto percepiti come potenzialmente destabilizzanti per i genitori, ritenuti incapaci di reggerne il carico emotivo. Marco non nasconde la propria identità per vergogna o omofobia interiorizzata, ma ritiene che il proprio orientamento rappresenti un "problema aggiuntivo", soprattutto per la madre, che dovrebbe poi “gestire” all’interno della rete familiare, esponendola a situazioni emotivamente faticose o a possibili giudizi.</w:t>
      </w:r>
    </w:p>
    <w:p w:rsidR="00000000" w:rsidDel="00000000" w:rsidP="00000000" w:rsidRDefault="00000000" w:rsidRPr="00000000" w14:paraId="00000050">
      <w:pPr>
        <w:pStyle w:val="Heading3"/>
        <w:spacing w:before="0" w:line="360" w:lineRule="auto"/>
        <w:ind w:left="567" w:right="567" w:firstLine="283.9999999999999"/>
        <w:rPr>
          <w:rFonts w:ascii="Garamond" w:cs="Garamond" w:eastAsia="Garamond" w:hAnsi="Garamond"/>
          <w:b w:val="1"/>
          <w:bCs w:val="1"/>
          <w:color w:val="000000"/>
          <w:u w:val="none"/>
        </w:rPr>
      </w:pPr>
      <w:r w:rsidDel="00000000" w:rsidR="00000000" w:rsidRPr="00000000">
        <w:rPr>
          <w:rtl w:val="0"/>
        </w:rPr>
      </w:r>
    </w:p>
    <w:p w:rsidR="00000000" w:rsidDel="00000000" w:rsidP="00000000" w:rsidRDefault="00000000" w:rsidRPr="00000000" w14:paraId="00000051">
      <w:pPr>
        <w:pStyle w:val="Heading3"/>
        <w:spacing w:before="0" w:line="360" w:lineRule="auto"/>
        <w:ind w:left="567" w:right="567" w:firstLine="283.9999999999999"/>
        <w:rPr>
          <w:rFonts w:ascii="Garamond" w:cs="Garamond" w:eastAsia="Garamond" w:hAnsi="Garamond"/>
          <w:b w:val="1"/>
          <w:bCs w:val="1"/>
          <w:color w:val="000000"/>
          <w:u w:val="none"/>
        </w:rPr>
      </w:pPr>
      <w:r w:rsidDel="00000000" w:rsidR="00000000" w:rsidRPr="00000000">
        <w:rPr>
          <w:rFonts w:ascii="Garamond" w:cs="Garamond" w:eastAsia="Garamond" w:hAnsi="Garamond"/>
          <w:b w:val="1"/>
          <w:bCs w:val="1"/>
          <w:color w:val="000000"/>
          <w:u w:val="none"/>
          <w:rtl w:val="0"/>
        </w:rPr>
        <w:t xml:space="preserve">Coming out e odio di sé</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Nel senso di colpa da odio di sé, la credenza patogena centrale riguarda l’idea di essere intrinsecamente sbagliati/e, indegni/e o non meritevoli di amore, protezione e rispetto. L’identità LGBT+ non è vissuta soltanto come una caratteristica personale, ma come una conferma di una presunta “difettosità” di sé.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Ad esempio, un uomo gay che comunica il proprio orientamento ai genitori in modo fortemente auto-svalutante, utilizzando un linguaggio carico di colpa e disprezzo verso sé stesso:</w:t>
        <w:br w:type="textWrapping"/>
        <w:t xml:space="preserve">“Lo so che sono una delusione profonda per voi”, “Capisco che non lo accetterete mai”, “Sono malato”.</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567" w:firstLine="142.00000000000003"/>
        <w:rPr>
          <w:rFonts w:ascii="Garamond" w:cs="Garamond" w:eastAsia="Garamond" w:hAnsi="Garamond"/>
          <w:i w:val="1"/>
          <w:iCs w:val="1"/>
          <w:color w:val="000000"/>
        </w:rPr>
      </w:pPr>
      <w:r w:rsidDel="00000000" w:rsidR="00000000" w:rsidRPr="00000000">
        <w:rPr>
          <w:rFonts w:ascii="Garamond" w:cs="Garamond" w:eastAsia="Garamond" w:hAnsi="Garamond"/>
          <w:i w:val="1"/>
          <w:iCs w:val="1"/>
          <w:color w:val="000000"/>
          <w:rtl w:val="0"/>
        </w:rPr>
        <w:t xml:space="preserve">Elena è una donna di 32 anni, impiegata presso una società di consulenza. Nonostante sia dichiarata in famiglia, vive in uno stato di profonda angoscia riguardo alla propria visibilità sul posto di lavoro. È convinta che, se i/le colleghi/e o i superiori sapessero del suo orientamento, verrebbe vista con sospetto, giudicata "indegna" di ricoprire ruoli di responsabilità o persino licenziata.</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567" w:firstLine="142.00000000000003"/>
        <w:rPr>
          <w:rFonts w:ascii="Garamond" w:cs="Garamond" w:eastAsia="Garamond" w:hAnsi="Garamond"/>
          <w:i w:val="1"/>
          <w:iCs w:val="1"/>
          <w:color w:val="000000"/>
        </w:rPr>
      </w:pPr>
      <w:r w:rsidDel="00000000" w:rsidR="00000000" w:rsidRPr="00000000">
        <w:rPr>
          <w:rFonts w:ascii="Garamond" w:cs="Garamond" w:eastAsia="Garamond" w:hAnsi="Garamond"/>
          <w:i w:val="1"/>
          <w:iCs w:val="1"/>
          <w:color w:val="000000"/>
          <w:rtl w:val="0"/>
        </w:rPr>
        <w:t xml:space="preserve">Elena è cresciuta in una famiglia in cui i fratelli e la sorella venivano esaltati come modelli di perfezione e adeguatezza.</w:t>
      </w:r>
      <w:r w:rsidDel="00000000" w:rsidR="00000000" w:rsidRPr="00000000">
        <w:rPr>
          <w:rFonts w:ascii="Garamond" w:cs="Garamond" w:eastAsia="Garamond" w:hAnsi="Garamond"/>
          <w:i w:val="1"/>
          <w:iCs w:val="1"/>
          <w:rtl w:val="0"/>
        </w:rPr>
        <w:t xml:space="preserve"> Mentre lei, fisicamente molto diversa da loro, veniva fatta sentire un "corpo estraneo" ed era costantemente derisa ed esclusa dalla complicità tra loro.</w:t>
      </w:r>
      <w:r w:rsidDel="00000000" w:rsidR="00000000" w:rsidRPr="00000000">
        <w:rPr>
          <w:rFonts w:ascii="Garamond" w:cs="Garamond" w:eastAsia="Garamond" w:hAnsi="Garamond"/>
          <w:i w:val="1"/>
          <w:iCs w:val="1"/>
          <w:color w:val="000000"/>
          <w:rtl w:val="0"/>
        </w:rPr>
        <w:t xml:space="preserve"> Per anni ha assecondato il messaggio familiare secondo cui "non era mai abbastanza", sforzandosi ossessivamente di migliorarsi, prima nello studio e poi nel lavoro, senza mai raggiungere lo standard necessario per sentirsi “al loro livello”.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567" w:firstLine="142.00000000000003"/>
        <w:rPr>
          <w:rFonts w:ascii="Garamond" w:cs="Garamond" w:eastAsia="Garamond" w:hAnsi="Garamond"/>
          <w:i w:val="1"/>
          <w:iCs w:val="1"/>
          <w:color w:val="000000"/>
        </w:rPr>
      </w:pPr>
      <w:r w:rsidDel="00000000" w:rsidR="00000000" w:rsidRPr="00000000">
        <w:rPr>
          <w:rFonts w:ascii="Garamond" w:cs="Garamond" w:eastAsia="Garamond" w:hAnsi="Garamond"/>
          <w:i w:val="1"/>
          <w:iCs w:val="1"/>
          <w:color w:val="000000"/>
          <w:rtl w:val="0"/>
        </w:rPr>
        <w:t xml:space="preserve">A rafforzare questa percezione di essere "difettosa" è stata la diagnosi di una malattia ereditaria, di cui è l’unica portatrice, vissuta come una prova biologica della sua natura deficitaria. </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567" w:firstLine="142.00000000000003"/>
        <w:rPr>
          <w:rFonts w:ascii="Garamond" w:cs="Garamond" w:eastAsia="Garamond" w:hAnsi="Garamond"/>
          <w:i w:val="1"/>
          <w:iCs w:val="1"/>
          <w:color w:val="000000"/>
        </w:rPr>
      </w:pPr>
      <w:r w:rsidDel="00000000" w:rsidR="00000000" w:rsidRPr="00000000">
        <w:rPr>
          <w:rFonts w:ascii="Garamond" w:cs="Garamond" w:eastAsia="Garamond" w:hAnsi="Garamond"/>
          <w:i w:val="1"/>
          <w:iCs w:val="1"/>
          <w:color w:val="000000"/>
          <w:rtl w:val="0"/>
        </w:rPr>
        <w:t xml:space="preserve">Quando Elena ha acquisito consapevolezza del proprio orientamento sessuale, la sua reazione è stata: «Ci mancava pure questa!». In quel momento, la sua omosessualità non è stata vissuta come una scoperta identitaria, ma come un’ulteriore conferma di essere “nata sbagliata", un’altra "macchia" che si sommava alla malattia e alla sua inadeguatezza fisica</w:t>
      </w:r>
      <w:r w:rsidDel="00000000" w:rsidR="00000000" w:rsidRPr="00000000">
        <w:rPr>
          <w:rFonts w:ascii="Garamond" w:cs="Garamond" w:eastAsia="Garamond" w:hAnsi="Garamond"/>
          <w:i w:val="1"/>
          <w:iCs w:val="1"/>
          <w:rtl w:val="0"/>
        </w:rPr>
        <w:t xml:space="preserve">”. L’ identità e la malattia sono stati interpretati attraverso i bias di conferma.</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709" w:right="0" w:firstLine="142.00000000000003"/>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Elena ha sviluppato la credenza patogena da odio di sé: «Sono biologicamente malata e indegna di rispetto. Se gli altri conoscessero la mia vera natura, ne proverebbero disgusto». Nonostante l’accoglienza serena da parte dei familiari al suo coming out, continua a inibire ogni manifestazione affettiva con la compagna in loro presenza, per timore di suscitare in loro disgusto.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567" w:firstLine="142.00000000000003"/>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Questa difficoltà a esprimere pienamente la propria identità indica quanto sia radicata la credenza patogena da odio di sé, e l’inibizione delle manifestazioni affettive in famiglia rappresenta una compiacenza verso di essa. Il vissuto di "in fondo rimango difettosa" mostra che il successo del test relazionale con la famiglia non è stato sufficiente a disconfermare la credenza patogena, in quanto si è sviluppata nelle esperienze negative precedenti alla scoperta dell’orientamento, che avevano già consolidato in Elena una percezione di una sua “difettosità ontologica”. Per questo, ogni possibilità di esposizione, come sul luogo di lavoro, rappresenta un’esperienza angosciante in quanto potenzialmente ri-traumatizzante.</w:t>
      </w:r>
    </w:p>
    <w:p w:rsidR="00000000" w:rsidDel="00000000" w:rsidP="00000000" w:rsidRDefault="00000000" w:rsidRPr="00000000" w14:paraId="0000005A">
      <w:pPr>
        <w:spacing w:line="360" w:lineRule="auto"/>
        <w:ind w:left="567" w:right="567" w:firstLine="283.9999999999999"/>
        <w:rPr>
          <w:rFonts w:ascii="Garamond" w:cs="Garamond" w:eastAsia="Garamond" w:hAnsi="Garamond"/>
          <w:i w:val="1"/>
          <w:iCs w:val="1"/>
        </w:rPr>
      </w:pPr>
      <w:r w:rsidDel="00000000" w:rsidR="00000000" w:rsidRPr="00000000">
        <w:rPr>
          <w:rtl w:val="0"/>
        </w:rPr>
      </w:r>
    </w:p>
    <w:p w:rsidR="00000000" w:rsidDel="00000000" w:rsidP="00000000" w:rsidRDefault="00000000" w:rsidRPr="00000000" w14:paraId="0000005B">
      <w:pPr>
        <w:pStyle w:val="Heading3"/>
        <w:spacing w:before="0" w:line="360" w:lineRule="auto"/>
        <w:ind w:left="567" w:right="567" w:firstLine="283.9999999999999"/>
        <w:rPr>
          <w:rFonts w:ascii="Garamond" w:cs="Garamond" w:eastAsia="Garamond" w:hAnsi="Garamond"/>
          <w:b w:val="1"/>
          <w:bCs w:val="1"/>
          <w:color w:val="000000"/>
          <w:u w:val="none"/>
        </w:rPr>
      </w:pPr>
      <w:r w:rsidDel="00000000" w:rsidR="00000000" w:rsidRPr="00000000">
        <w:rPr>
          <w:rFonts w:ascii="Garamond" w:cs="Garamond" w:eastAsia="Garamond" w:hAnsi="Garamond"/>
          <w:b w:val="1"/>
          <w:bCs w:val="1"/>
          <w:color w:val="000000"/>
          <w:u w:val="none"/>
          <w:rtl w:val="0"/>
        </w:rPr>
        <w:t xml:space="preserve">Coming out e senso di colpa del sopravvissuto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Nel senso di colpa del sopravvissuto, il coming out può essere vissuto come una "conquista identitaria": affermare il proprio orientamento sessuale o la propria identità di genere significa accedere a una dimensione di autenticità e felicità che i genitori o altri familiari non hanno potuto o saputo raggiungere nella propria vita.  Il test relazionale riguarda la credenza: “Se io sono fiero e libero di essere me stesso, posso umiliare o ferire gli altri.”. Il coming out può quindi essere accompagnato, successivamente, da comportamenti auto-sabotanti per limitare il proprio benessere e mantenere una lealtà relazionale fondata sulla condivisione della sofferenza.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Giovanna è una donna lesbica cresciuta in una famiglia segnata da rinunce, sacrifici e infelicità. Per lei, vivere la propria autenticità rappresenta una conquista che suscita felicità e orgoglio, ma al tempo stesso viene vissuta come un possibile tradimento nei confronti dei genitori.</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In questo contesto, il coming out si accompagna a sentimenti ambivalenti: da un lato il desiderio di affermare la propria identità e la gioia per l’autenticità raggiunta; dall’altro la spinta a ridimensionare o sabotare il proprio benessere per non “superare” i genitori, non ferirli e preservare il legame.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Quando decide di dichiararsi, utilizza espressioni come: «Non è che io sia felice per questo», «È solo qualcosa con cui devo convivere», come se fosse necessario sminuire l’importanza della propria realizzazione per proteggere i genitori da vissuti di dolore o umiliazione, evitando di apparire più libera o felice di loro.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3"/>
        <w:spacing w:before="0" w:line="360" w:lineRule="auto"/>
        <w:ind w:left="567" w:right="567" w:firstLine="283.9999999999999"/>
        <w:rPr>
          <w:rFonts w:ascii="Garamond" w:cs="Garamond" w:eastAsia="Garamond" w:hAnsi="Garamond"/>
          <w:b w:val="1"/>
          <w:bCs w:val="1"/>
          <w:color w:val="000000"/>
          <w:u w:val="none"/>
        </w:rPr>
      </w:pPr>
      <w:r w:rsidDel="00000000" w:rsidR="00000000" w:rsidRPr="00000000">
        <w:rPr>
          <w:rFonts w:ascii="Garamond" w:cs="Garamond" w:eastAsia="Garamond" w:hAnsi="Garamond"/>
          <w:b w:val="1"/>
          <w:bCs w:val="1"/>
          <w:color w:val="000000"/>
          <w:u w:val="none"/>
          <w:rtl w:val="0"/>
        </w:rPr>
        <w:t xml:space="preserve">La dimensione temporale del coming out come test relazionale nel contesto familiare ed amicale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Nel coming out, ciò che viene messo alla prova non è semplicemente l’accettazione dell’identità in sé, ma la tenuta e la sicurezza del legame. La domanda implicita del test non è tanto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“Mi accetterai?”</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quanto piuttosto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“Continuerai a esserci, a riconoscermi e ad amarmi, ora che sai chi sono?”.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In questa prospettiva, il coming out rappresenta un test relazionale centrato sulla continuità e sicurezza affettiva, più che sulla sola </w:t>
      </w:r>
      <w:r w:rsidDel="00000000" w:rsidR="00000000" w:rsidRPr="00000000">
        <w:rPr>
          <w:rFonts w:ascii="Garamond" w:cs="Garamond" w:eastAsia="Garamond" w:hAnsi="Garamond"/>
          <w:b w:val="0"/>
          <w:bCs w:val="0"/>
          <w:i w:val="0"/>
          <w:iCs w:val="0"/>
          <w:smallCaps w:val="0"/>
          <w:strike w:val="0"/>
          <w:color w:val="000000"/>
          <w:sz w:val="24"/>
          <w:szCs w:val="24"/>
          <w:highlight w:val="yellow"/>
          <w:u w:val="none"/>
          <w:vertAlign w:val="baseline"/>
          <w:rtl w:val="0"/>
        </w:rPr>
        <w:t xml:space="preserve">conferma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e riconoscimento identitario.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famiglia di origine rappresenta il principale contesto in cui il coming out assume la funzione di test, in quanto luogo primario di costruzione delle credenze relative alla sicurezza relazionale e ai bisogni di riconoscimento e validazione. Il coming out mette alla prova la capacità del sistema familiare di accogliere la differenza e l’autenticità senza trasformarla in colpa, fallimento o minaccia alla coesione del legame.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reazione familiare al coming out è estremamente importante: essa può confermare credenze patogene preesistenti, rafforzando l’idea che l’autenticità sia incompatibile con la sicurezza relazionale, oppure può contribuire alla loro disconferma, offrendo un’esperienza di accettazione e sicurezza.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coming out</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raramente produce effetti immediati, lineari o definitivi sulla percezione del sé e sulle relazionali significative, soprattutto nelle fasi iniziali del percorso identitario. Nella maggior parte dei casi, esso non determina una disconferma diretta e immediata delle credenze patogene, ma attiva piuttosto un processo di testing relazionale che si sviluppa gradualmente nel tempo.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Nel contesto familiare e amicale, questo processo è frequentemente caratterizzato da oscillazioni: momenti di apertura possono alternarsi a fasi di chiusura, tentativi di avvicinamento a reazioni di distanza. Anche in assenza di un rifiuto esplicito, la persona può cogliere ambiguità, silenzi o segnali contraddittori che rendono la sicurezza del legame incerta. L’autenticità, in questa fase, non viene immediatamente vissuta come sicura, ma rimane sottoposta a una continua verifica.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molte esperienze di coming out, le prime reazioni delle figure significative possono essere disorientamento, imbarazzo, rabbia, giudizio o distanza emotiva. Tuttavia, tali reazioni iniziali non determinano sempre l’esito definitivo del test. Piccoli segnali successivi di continuità affettiva, come un cambiamento nel tono della voce, uno sguardo più aperto o un contatto fisico accogliente, possono ristabilire gradualmente la vicinanza. Spesso sono le stesse figure significative a riavvicinarsi, mostrando maggiore apertura o riconoscendo la propria difficoltà iniziale e, in alcuni casi, chiedendo scusa per la loro reazione. La disconferma delle credenze non dipende dall’esito di un singolo test, ma dalla possibilità di fare ripetute esperienze positive che dimostrano come l’espressione del Sé non comporti perdita o rifiuto. Il coming out non va sempre interpretato in termini dicotomici di successo o fallimento: un esito iniziale che sembri confermare la credenza patogena, come il timore di ferire l’altro o di essere rifiutati, non rappresenta un insuccesso definitivo, in quanto può promuovere un processo adattivo, proattivo e sano progressivo, tra la persona LGBT+ e la famiglia.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Il ruolo delle credenze genitoriali nella risposta al coming out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reazione dei genitori al coming out dei/delle figli/e non va interpretata come una semplice risposta affettiva o emotiva, bensì come l’espressione delle credenze e credenze patogene genitoriali sostenute dai loro sensi di colpa interpersonali. Le credenze patogene dei genitori possono limitare la loro capacità di essere autenticamente presenti all’esperienza emotiva e relazionale con il/la figlio/a, impedendo loro di rispondere in modo affermativo e validante ai suoi bisogni. Queste credenze non sono pregiudizi o giudizi culturali, ma convinzioni secondo le quali l’espressione autentica del/della figlio/a è percepita come una minaccia alla stabilità familiare, all’immagine sociale o all’autostima dei genitori, traducendosi in reazioni di rifiuto, ansia, negazione o controllo.  La relazione genitore-figlio/a non si fonda più sull’accoglienza e la condivisione dell’autenticità, ma sulla gestione del rischio percepito, aumentando il senso di colpa e la vergogna del/dei figlio/a e consolidando i loro schemi patogeni preesistenti.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Le credenze patogene dei genitori possono essere legate, ad esempio, alla percezione del proprio fallimento genitoriale: “Se mio/a figlio/a non è eterosessuale, significa che ho causato un danno irreparabile”, “non sono stato un buon genitore”, questa credenza patogena causa sensi di colpa difficili da tollerare e può spingere il genitore a reagire con negazione o con tentativi di “correzione”, nel tentativo di ristabilire una immagine di sé come buon genitore. Altri genitori possono avere la credenza per cui “mio/a figlio/a ha il dovere di realizzare le aspettative che io ho per lui/lei per dare senso ai miei sacrifici” oppure di dover rimandare una immagine familiare ineccepibile, e l’identità LGBT+ del/della figlio/a viene vissuta come una macchia sulla reputazione familiare. Il genitore sperimenta un senso di colpa non tanto verso il/la figlio/a quanto verso la propria famiglia di origine o comunità di appartenenza.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coming out viene quindi percepito come un evento destabilizzante: “L’identità/autenticità di mio/a figlio/a è un peso che la io e/o la nostra famiglia non può reggere senza andare in pezzi/vergognarsi/sentirsi traditi/essere allontanati da tutti”.  Da queste credenze possono derivare le richieste o imposizioni di discrezione, silenzio o invisibilità, per “proteggere” la famiglia.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questa prospettiva, il coming out può essere inteso come un test relazionale “a doppio senso”: da un lato, il/la figlio/a verifica la sicurezza del legame con i genitori, mettendo alla prova la possibilità di essere autentico/a senza perdere il loro amore e protezione; dall’altro, anche i genitori vengono implicitamente “testati” rispetto alle proprie credenze patogene. Il coming out dei/delle figli/e può diventare, anche per i genitori, un momento di testing in cui vengono messe alla prova convinzioni quali l’idea che l’identità LGBT+ costituisca un fallimento o un pericolo per sé stessi o per famiglia. Questo processo di disconferma non si svolge solo all’interno del legame genitore–figlio/a, ma si estende all’intero contesto relazionale. Il confronto con altre persone significative, parenti, amici, colleghi/e, diventa infatti una occasione importante: reazioni accoglienti, rispettose e non stigmatizzanti possono contraddire le aspettative di rifiuto, vergogna o esclusione; al contrario, risposte critiche o giudicanti tendono a rinforzarle. Tutti i membri della famiglia, inoltre, possono trovarsi di fronte alla scelta se e come affermare, nelle interazioni quotidiane, l’identità del/della proprio/a figlio/a o del/della fratello/sorella, decidendo se dichiararla esplicitamente, sostenerla nei contesti sociali e integrarla nei discorsi familiari. Non è solo la persona LGBT+ a esporsi: l’intero sistema familiare è coinvolto. Situazioni apparentemente ordinarie, come la domanda di un conoscente “Tuo/a figlio/a ha il/la fidanzato/a?” o osservazioni del tipo “Perché tua sorella veste sempre da maschio?”, diventano occasioni in cui i familiari scelgono se proteggersi dalle proprie paure di giudizio, rifiuto o esclusione sociale attraverso silenzi, ambiguità o negazione, oppure se affermare apertamente l’identità del/della figlio/a o fratello/sorella, mettendo così alla prova le proprie credenze patogene. Ogni reazione dell’ambiente fornisce un’informazione significativa, capace di confermare o disconfermare tali convinzioni.</w:t>
      </w:r>
    </w:p>
    <w:p w:rsidR="00000000" w:rsidDel="00000000" w:rsidP="00000000" w:rsidRDefault="00000000" w:rsidRPr="00000000" w14:paraId="00000070">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71">
      <w:pPr>
        <w:pStyle w:val="Heading3"/>
        <w:spacing w:before="0" w:line="360" w:lineRule="auto"/>
        <w:ind w:left="567" w:right="567" w:firstLine="283.9999999999999"/>
        <w:rPr>
          <w:rFonts w:ascii="Garamond" w:cs="Garamond" w:eastAsia="Garamond" w:hAnsi="Garamond"/>
          <w:b w:val="1"/>
          <w:bCs w:val="1"/>
          <w:color w:val="000000"/>
          <w:u w:val="none"/>
        </w:rPr>
      </w:pPr>
      <w:r w:rsidDel="00000000" w:rsidR="00000000" w:rsidRPr="00000000">
        <w:rPr>
          <w:rFonts w:ascii="Garamond" w:cs="Garamond" w:eastAsia="Garamond" w:hAnsi="Garamond"/>
          <w:b w:val="1"/>
          <w:bCs w:val="1"/>
          <w:color w:val="000000"/>
          <w:u w:val="none"/>
          <w:rtl w:val="0"/>
        </w:rPr>
        <w:t xml:space="preserve">Il coming out come processo di testing continuo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Nel corso della vita, nuove fasi evolutive, come lavoro, matrimonio, genitorialità o nuove amicizie, espongono le persone LGBT+ a contesti familiari, sociali e istituzionali spesso ancora eteronormativi e cisnormativi. Atteggiamenti, comportamenti e norme culturali possono veicolare, in forma implicita o esplicita, messaggi omolesbobitransfobici di inadeguatezza o rifiuto, rafforzando credenze patogene preesistenti. In queste situazioni, il coming out può configurarsi come un test relazionale: la persona valuta se l’ambiente offre sufficiente sicurezza per esprimere autenticamente sé stessa senza riattivare vissuti traumatici o esperienze di esclusione, modulando la propria autenticità in base ai segnali, anche sottili, ricevuti dall’ambiente.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Una giovane donna lesbica, ad esempio, decide di fare coming out con gli amici e le amiche di lunga data, osservando attentamente le loro reazioni. Se i commenti sono ironici o minimizzanti, la ragazza percepisce un potenziale pericolo e tenderà a ritirarsi; se invece le risposte sono accoglienti e curiose, senza giudizio, riceve un’indicazione di sicurezza. Un uomo gay, che ha da poco iniziato un nuovo lavoro, decide di menzionare, durante una pausa caffè, la propria partecipazione a un evento LGBT+ e osserva se i/le colleghi/e reagiscono con interesse o accettazione, così da verificare la credenza patogena secondo cui “se mostro chi sono, sarò giudicato o escluso”. Se invece emergono commenti ironici o silenzi imbarazzati, la credenza e il senso di pericolo vengono rafforzati, portandolo a modulare o a nascondere ulteriormente la propria espressione identitaria. Un giovane ragazzo trans, che partecipa da un anno a un laboratorio teatrale senza aver mai dichiarato la propria identità, dice per la prima volta agli altri quali sono i pronomi corretti con cui rivolgersi a lui, consapevole che il gesto potrebbe suscitare disapprovazione, commenti negativi o imbarazzo. Attraverso il coming out, testa la credenza patogena secondo cui l’espressione della propria identità comporta rifiuto da parte degli altri.</w:t>
      </w:r>
    </w:p>
    <w:p w:rsidR="00000000" w:rsidDel="00000000" w:rsidP="00000000" w:rsidRDefault="00000000" w:rsidRPr="00000000" w14:paraId="00000074">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Le persone LGBT+, in alcuni casi, possono decidere di rimandare il coming out anche con persone dalle quali sanno, sul piano razionale, che riceveranno accoglienza e supporto. Questa scelta può essere compresa dalla presenza di credenze patogene inconsce che mantengo la convinzione che l’espressione della propria autenticità comporti una perdita della sicurezza relazionale. Tali credenze continuano a influenzare le scelte di visibilità anche in assenza di reali pericoli nel presente.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Quando la persona decide di dichiararsi, un elemento di rischio relazionale può essere legato al momento scelto per la rivelazione. Il pericolo non riguarda tanto l’identità in sé quanto l’aver aspettato nel condividerla. Il “perché lo dico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solo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ora”, non rappresenta semplicemente un aver “rimandato”, ma costituisce l’esito di una strategia adattiva volta a bilanciare il bisogno di autenticità e il bisogno di sicurezza. Questa necessità, pur svolgendo una funzione protettiva, può generare, in alcuni casi, dei sensi di colpa: «Avrei dovuto dirlo prima, ora mi considereranno falso e si allontaneranno», «Si arrabbieranno giustamente per non averglielo detto prima e mi rifiuteranno», oppure «Li deluderò o li ferirò per aver mentito così a lungo», «si sentiranno traditi per avergli mentito per tutto questo tempo”.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coming out, sia che riguardi il contenuto che il momento in cui viene fatto, si configura come un test relazionale, che mette alla prova le credenze patogene relative alla convinzione che esprimere la propria identità ed i propri bisogni di sicurezza, comporti il rischio di essere rifiutati/e, di ferire gli altri o di perdere le persone significative.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L’interpretazione delle risposte ottenute tramite l’attività di testing può essere influenzata dai bias di conferma, che porta la mente a selezionare e privilegiare le informazioni coerenti con le convinzioni preesistenti, trascurando o distorcendo quelle che le contraddicono. Poiché le credenze patogene legate all’identità LGBT+ si sono strutturate come strategie di protezione relazionale, questi bias contribuiscono a mantenerle attive, selezionando i segnali coerenti con l’aspettativa di rifiuto, vergogna o pericolo, nel tentativo di prevenire situazioni potenzialmente ri-traumatizzanti. La persona, ad esempio, potrà cogliere solamente le comunicazioni o i comportamenti provenienti da contesti eteronormativi e cisnormativi che confermano la convinzione che essere sé stessi sia sbagliato o da meno, trascurando, invece, segnali disconfermanti. Anche in contesti ed esperienze oggettivamente accoglienti, questo meccanismo, infatti, può ostacolare la percezione di segnali positivi o di accettazione. Ad esempio, Luca rivela la propria identità alla madre e lei lo abbraccia e nello stesso tempo fa un profondo sospiro. Luca potrebbe ignorare il calore dell’abbraccio e cogliere solo il sospiro, interpretandolo come prova della credenza patogena: «la mia autenticità è un peso per lei».</w:t>
      </w:r>
    </w:p>
    <w:p w:rsidR="00000000" w:rsidDel="00000000" w:rsidP="00000000" w:rsidRDefault="00000000" w:rsidRPr="00000000" w14:paraId="00000078">
      <w:pPr>
        <w:spacing w:line="360" w:lineRule="auto"/>
        <w:ind w:left="567" w:right="567" w:firstLine="283.9999999999999"/>
        <w:rPr>
          <w:rFonts w:ascii="Garamond" w:cs="Garamond" w:eastAsia="Garamond" w:hAnsi="Garamond"/>
          <w:b w:val="1"/>
          <w:bCs w:val="1"/>
        </w:rPr>
      </w:pPr>
      <w:r w:rsidDel="00000000" w:rsidR="00000000" w:rsidRPr="00000000">
        <w:rPr>
          <w:rFonts w:ascii="Garamond" w:cs="Garamond" w:eastAsia="Garamond" w:hAnsi="Garamond"/>
          <w:rtl w:val="0"/>
        </w:rPr>
        <w:t xml:space="preserve">Il coming out non deve essere inteso come un evento isolato, ma come un’attività di testing continuo che accompagna le diverse fasi evolutive della persona LGBT+. La disconferma delle credenze patogene avviene in modo graduale e non lineare, costantemente modulata dal principio di sicurezza. In ogni nuovo contesto, la persona valuta se e in quale misura sia possibile esprimere la propria autenticità preservando al contempo la sicurezza relazionale nelle diverse interazioni e nei contesti di vita.</w:t>
      </w:r>
      <w:r w:rsidDel="00000000" w:rsidR="00000000" w:rsidRPr="00000000">
        <w:rPr>
          <w:rtl w:val="0"/>
        </w:rPr>
      </w:r>
    </w:p>
    <w:p w:rsidR="00000000" w:rsidDel="00000000" w:rsidP="00000000" w:rsidRDefault="00000000" w:rsidRPr="00000000" w14:paraId="00000079">
      <w:pPr>
        <w:spacing w:line="360" w:lineRule="auto"/>
        <w:ind w:left="567" w:right="567" w:firstLine="283.9999999999999"/>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7A">
      <w:pPr>
        <w:spacing w:line="360" w:lineRule="auto"/>
        <w:ind w:left="567" w:right="567" w:firstLine="283.9999999999999"/>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IL COMING OUT IN TERAPIA COME TEST </w:t>
      </w:r>
    </w:p>
    <w:p w:rsidR="00000000" w:rsidDel="00000000" w:rsidP="00000000" w:rsidRDefault="00000000" w:rsidRPr="00000000" w14:paraId="0000007B">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Analogamente a quanto avviene nei rapporti familiari, anche nella relazione terapeutica i/le pazienti LGBT+ mettono alla prova il/la terapeuta attraverso test, consci o inconsci, finalizzati a verificare se lo spazio relazionale consenta loro di esprimere autenticamente sé stessi e di perseguire i propri obiettivi sani.</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Nei test di transfert per compiacenza, il/la paziente porta nella relazione terapeutica proprio l’inibizione dalla quale desidera emanciparsi, comportandosi in modo coerente con la propria credenza patogena. Attraverso il test, verifica se il/la terapeuta tenderà a confermare implicitamente tale credenza o se saprà offrire una risposta diversa, più sicura e disconfermante. Questo può manifestarsi, ad esempio, attraverso una svalutazione della propria identità o del proprio orientamento, espressa in affermazioni che ridimensionano o patologizzano l’esperienza soggettiva. Dopo aver dichiarato la propria identità, la persona può aggiungere: “Forse è solo una fase”, “Non è una cosa così importante”, oppure “Se fossi una persona normale non creerei problemi a nessuno”. Di fronte a questi test, il/la terapeuta è chiamato/a, attraverso il proprio atteggiamento e le proprie risposte emotive, a offrire un’esperienza relazionale qualitativamente diversa, capace di disconfermare la credenza patogena sottostante e di sostenere e valorizzare l’autenticità e l’identità del/della paziente. In tal senso, l’intervento si configura come pro-plan, poiché sostiene i bisogni evolutivi di accoglienza e riconoscimento che il piano del/della paziente cerca di realizzare in condizioni di sicurezza.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Un paziente gay che, dopo alcune sedute, introduce il tema del proprio orientamento sessuale dicendo: «C’è una cosa che forse è il caso di dire… sono gay, ma non è una cosa così centrale per me»; subito dopo aggiunge: «In fondo non credo che cambi molto, e forse sto esagerando a parlarne, non voglio appesantire nessuno». Attraverso la minimizzazione e auto-svalutazione, sta mettendo in atto un test di transfert per compiacenza: porta nella relazione terapeutica la limitazione di sé richiesta dalla credenza patogena secondo cui l’espressione autentica dell’identità è eccessiva e deve essere contenuta per evitare di appesantire gli altri.  Il test consiste nel verificare se il/la terapeuta confermerà la credenza patogena accogliendo implicitamente la minimizzazione proposta, oppure se, al contrario, saprà valorizzare e dare spazio l’esperienza del/della paziente. Una risposta anti-plan del terapeuta potrebbe, ad esempio, essere quella di rassicurare il paziente sul fatto che “non è necessario dare troppo peso a queste etichette”, oppure “se lei non lo reputa importante, non è necessario parlarne” e spostare il focus su altri temi. Una risposta di questo tipo, pur apparentemente neutra e “rispettosa”, equivarrebbe a non superare il test poiché confermerebbe implicitamente la credenza patogena che l’identità debba essere ridimensionata per non pesare sugli altri.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superamento del test richiede invece che il/la terapeuta mantenga una presenza emotiva stabile e pro-plan, riconoscendo il significato del coming out senza aderire alla svalutazione, ad esempio, dicendo di reputare importane sapere di più rispetto alla sua identità e mostrando una autentica curiosità.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 il test viene superato, il/la paziente può fare un’esperienza emotiva nuova: l’essere visto e accolto non comporta il pericolo previsto dalla credenza patogena. Questo consente una graduale riduzione della compiacenza, una maggiore libertà di espressione in seduta e l’avvio di un processo di disconferma delle mappe di pericolo relazionale che organizzavano il comportamento protettivo.</w:t>
      </w:r>
    </w:p>
    <w:p w:rsidR="00000000" w:rsidDel="00000000" w:rsidP="00000000" w:rsidRDefault="00000000" w:rsidRPr="00000000" w14:paraId="00000081">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Una paziente con un senso di colpa da responsabilità onnipotente porta in seduta il tema del coming out, affermando: «In fondo, che bisogno c’è di dirlo ai miei genitori? Sarebbe un atto di puro egoismo, solo per farmi sentire più leggera, e dare loro un dolore che non potrebbero sopportare. Forse sacrificarmi non è poi così difficile: posso comunque costruirmi la mia vita senza coinvolgerli, così restiamo tutti più sereni».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Questa affermazione non rappresenta una semplice resistenza, ma si configura come un test di transfert per compiacenza, attraverso il quale la paziente mette alla prova la propria credenza patogena: la convinzione di avere il dovere e il potere di garantire la felicità altrui a scapito dei propri bisogni evolutivi.</w:t>
      </w:r>
    </w:p>
    <w:p w:rsidR="00000000" w:rsidDel="00000000" w:rsidP="00000000" w:rsidRDefault="00000000" w:rsidRPr="00000000" w14:paraId="00000083">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Nel rapporto con la terapeuta, la paziente verifica inconsciamente se verrà confermata l’aspettativa traumatica secondo cui la propria autenticità sarebbe egoistica e dannosa, oppure se potrà fare esperienza di una risposta capace di riconoscere e legittimare il suo diritto alla visibilità. Lo scopo del test non è ottenere un’autorizzazione al silenzio, ma accertare l'esistenza di una modalità relazionale in cui l’espressione del proprio sé non comporti conseguenze distruttive per il legame. Attraverso questa verifica, la persona può sentirsi progressivamente autorizzata a mettere in discussione l’idea che il sacrificio di sé rappresenti l’unica strategia possibile di sicurezza affettiva.</w:t>
      </w:r>
    </w:p>
    <w:p w:rsidR="00000000" w:rsidDel="00000000" w:rsidP="00000000" w:rsidRDefault="00000000" w:rsidRPr="00000000" w14:paraId="00000084">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Una risposta </w:t>
      </w:r>
      <w:r w:rsidDel="00000000" w:rsidR="00000000" w:rsidRPr="00000000">
        <w:rPr>
          <w:rFonts w:ascii="Garamond" w:cs="Garamond" w:eastAsia="Garamond" w:hAnsi="Garamond"/>
          <w:i w:val="1"/>
          <w:iCs w:val="1"/>
          <w:rtl w:val="0"/>
        </w:rPr>
        <w:t xml:space="preserve">anti-plan </w:t>
      </w:r>
      <w:r w:rsidDel="00000000" w:rsidR="00000000" w:rsidRPr="00000000">
        <w:rPr>
          <w:rFonts w:ascii="Garamond" w:cs="Garamond" w:eastAsia="Garamond" w:hAnsi="Garamond"/>
          <w:rtl w:val="0"/>
        </w:rPr>
        <w:t xml:space="preserve">della terapeuta, come suggerire che «non sia necessario dire tutto», finirebbe per convalidare la credenza patogena, poiché confermerebbe implicitamente che l’identità della paziente sia effettivamente un peso troppo doloroso da sopportare per l'altro. Al contrario, il superamento del test richiede una posizione </w:t>
      </w:r>
      <w:r w:rsidDel="00000000" w:rsidR="00000000" w:rsidRPr="00000000">
        <w:rPr>
          <w:rFonts w:ascii="Garamond" w:cs="Garamond" w:eastAsia="Garamond" w:hAnsi="Garamond"/>
          <w:i w:val="1"/>
          <w:iCs w:val="1"/>
          <w:rtl w:val="0"/>
        </w:rPr>
        <w:t xml:space="preserve">pro-plan</w:t>
      </w:r>
      <w:r w:rsidDel="00000000" w:rsidR="00000000" w:rsidRPr="00000000">
        <w:rPr>
          <w:rFonts w:ascii="Garamond" w:cs="Garamond" w:eastAsia="Garamond" w:hAnsi="Garamond"/>
          <w:rtl w:val="0"/>
        </w:rPr>
        <w:t xml:space="preserve">: la terapeuta deve mostrare, attraverso il suo atteggiamento e i suoi interventi, che il perseguimento di obiettivi sani non ha un potere distruttivo, né comporta una responsabilità sul benessere emotivo degli altri. In questo modo, la terapia si configura come un’esperienza emotiva sana in cui la paziente apprende che la propria integrità e il proprio benessere non implicano inevitabilmente la perdita del legame o la sofferenza dell’altro.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Nei test di transfert per ribellione, il/la paziente mette alla prova le proprie credenze patogene sfidandole attivamente. All’interno della relazione terapeutica, può quindi assumere un atteggiamento deliberatamente anticonformista o provocatorio, con l’obiettivo di osservare la reazione del/la terapeuta e verificarne l’affidabilità.</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Sandra, una paziente lesbica che ha sviluppato una credenza patogena (da senso di colpa del sopravvissuto) per cui manifestare apertamente orgoglio per i propri successi ed essere fiera di sé farebbe sentire umiliati i propri genitori, in seduta racconta con entusiasmo i traguardi professionali raggiunti e l’orgoglio di aver fatto coming out sul posto di lavoro. Riporta con evidente soddisfazione di aver ricevuto apprezzamenti da parte di colleghi e colleghe, che le hanno espresso stima per il coraggio dimostrato nel dichiararsi, riconoscendola come un modello positivo. In particolare, riferisce con grande emozione che un collega le ha confidato come il suo coming out lo abbia aiutato a trovare a sua volta il coraggio di dichiararsi. Nel narrare questo episodio, appare particolarmente orgogliosa del ruolo che ha avuto nel favorire un cambiamento significativo nella vita di un’altra persona. Vantandosi dei risultati ottenuti e dell’impatto positivo esercitato sugli altri, verifica se il/la terapeuta reagirà in conformità alle credenze patogene mostrando disagio, critica ridimensionamento o invidia oppure con assumerà un atteggiamento pro-plan, mostrando approvazione e partecipazione emotiva.</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Anche espressioni di disaccordo o di affermazioni di sé possono mediare un test per ribellione. Una persona non binaria che ha sviluppato una convinzione per “se contraddico gli altri sarò rifiutat*”, quando fa coming out in terapia può iniziare a correggere costantemente ed anche in maniera provocatoria il/ la terapeuta quando non utilizza i pronomi adeguati. Attraverso tali comportamenti, la persona verifica se la relazione sia in grado di tollerare l’affermazione di sé senza trasformarsi in un’esperienza di rifiuto o giudizio.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Carlo è un uomo gay, dirigente in una importante azienda, che non aveva mai fatto coming out a lavoro ed in terapia.  Il suo abbigliamento formale ed elegante e l’attenzione a non esporsi pubblicamente rappresentavano un adattamento ai ruoli professionali e alle aspettative sociali relative alla sua credenza patogena: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mia identità non è adeguata ed è fonte di imbarazzo e giudizio”</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Un giorno, durante una seduta, dice, con fare sfidante: “Ieri sono stato al Pride” e mostra una foto in cui appare vestito in modo eccentrico, molto diverso dal suo abbigliamento abituale, con un atteggiamento volutamente esuberante e afferma di averla pubblicata su un social.  Carlo oltre ad osservare attentamente la reazione della terapeuta racconta di aver ricevuto molti commenti positivi da colleghi e amici, che lodavano la sua scelta e il coraggio della sua visibilità. Tuttavia, riferisce anche l’osservazione di un superiore che gli ha chiesto se ritenesse appropriato pubblicare la foto, in relazione al ruolo istituzionale ricoperto, in quanto lo rendevano meno credibile nel suo lavoro.</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Mostrando la foto in terapia, il paziente compie un test di transfert per ribellione, con l’obiettivo di verificare se la terapeuta confermerà attraverso una reazione imbarazzata o rifiuto alla sua visibilità la credenza patogena oppure se, al contrario, sosterrà la sua autenticità senza giudizio.</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La reazione della terapeuta di apprezzamento autentico e curiosità ha consentito al paziente di disconfermare la propria credenza patogena. In questo modo, attraverso il test e l’atteggiamento validante della terapeuta ha potuto convalidare la sicurezza della relazione terapeutica e legittimare il suo bisogno di autenticità, senza doverla più inibire. Il paziente, pur apparendo sicuro e determinato, si è esposto a un rischio emotivo elevato: se la terapeuta avesse reagito con imbarazzo o facendolo sentire eccessivo o non adeguato, avrebbe vissuto una nuova esperienza traumatizzante.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Nei test da transfert per ribellione, il messaggio che il paziente vuole ricevere dal/dalla terapeuta è che fa bene a ribellarsi alle credenze patogene sviluppate nella relazione con i genitori traumatizzanti e che se lo fa non deve sentirsi in colpa o punirsi per questo (Gazzillo, 2021). Il terapeuta deve proteggere il paziente da eventuali componenti disfunzionali o autopunitivi che possono essere messi in atto dal/dalla paziente assieme alla ribellione.  In molte persone LGBT+, si osserva che il periodo successivo al coming out può essere caratterizzato non tanto da un sollievo o benessere, quanto dall’emergere di sintomi depressivi, ritiro, autosvalutazione o condotte di autosabotaggio. Tali manifestazioni possono essere intese come tentativi inconsci autopunizione per il danno che la persona teme di aver arrecato alle figure di attaccamento nel momento in cui ha affermato la propria autenticità. La logica sottostante non è quella di una “ribellione fallita”, ma di una ribellione vissuta come colpevole.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Nei test da passivo in attivo per compiacenza il/la paziente inverte i ruoli vissuti durante le esperienze traumatiche infantili: assume la posizione della figura traumatizzante e attribuisce al/la terapeuta il ruolo del Sé infantile vulnerabile. Questo tipo di test può manifestarsi attraverso atteggiamenti critici, svalutanti, controllanti o emotivamente trascuranti nei confronti del/la terapeuta. Il/la paziente, identificandosi inconsapevolmente con l’aggressore, mette in atto comportamenti che ricalcano quelli delle figure significative che hanno contribuito alla formazione delle sue credenze patogene.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Nelle persone LGBT+ tali dinamiche assumono spesso forme strettamente connesse alle esperienze vissute di stigmatizzazione, rifiuto o invalidazione legate alla propria identità. Ad esempio, una paziente lesbica che ha interiorizzato l’idea di essere “sbagliata” e “problematica” può iniziare a svalutare il/la terapeuta, mettendone in dubbio la competenza nel lavorare con le tematiche LGBT+: “forse non capisce davvero queste cose”, “non credo che possa aiutarmi perché non è abbastanza competente”. In tal modo la paziente riproduce attivamente la stessa dinamica di delegittimazione e non riconoscimento subita in passato.</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Un paziente bisessuale che ha interiorizzato messaggi invalidanti quando ha fatto coming out (“sei confuso”, “è solo una fase”) può assumere verso il/la terapeuta lo stesso atteggiamento, minimizzando o ridicolizzando i suoi interventi, e inducendo a provare sentimenti di dubbio e incertezza simili a quelli provati dal paziente nel contesto originario del suo trauma.</w:t>
      </w:r>
    </w:p>
    <w:p w:rsidR="00000000" w:rsidDel="00000000" w:rsidP="00000000" w:rsidRDefault="00000000" w:rsidRPr="00000000" w14:paraId="00000093">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Nonostante l’apparente ostilità di tali comportamenti, il loro significato è profondamente adattivo. Attraverso il passaggio da una posizione passiva a una attiva, il/la paziente tenta infatti di padroneggiare un’esperienza originariamente vissuta come impotente e soverchiante. Riproducendo la dinamica traumatica “a parti invertite”, egli/ella cerca di acquisire un senso di controllo su ciò che in passato era stato subito in modo passivo e incontrollabile.  Per molte persone LGBT+, </w:t>
      </w:r>
      <w:r w:rsidDel="00000000" w:rsidR="00000000" w:rsidRPr="00000000">
        <w:rPr>
          <w:rFonts w:ascii="Garamond" w:cs="Garamond" w:eastAsia="Garamond" w:hAnsi="Garamond"/>
          <w:color w:val="388600"/>
          <w:u w:val="none"/>
          <w:rtl w:val="0"/>
        </w:rPr>
        <w:t xml:space="preserve">c</w:t>
      </w:r>
      <w:r w:rsidDel="00000000" w:rsidR="00000000" w:rsidRPr="00000000">
        <w:rPr>
          <w:rFonts w:ascii="Garamond" w:cs="Garamond" w:eastAsia="Garamond" w:hAnsi="Garamond"/>
          <w:rtl w:val="0"/>
        </w:rPr>
        <w:t xml:space="preserve">he hanno sperimentato reazioni familiari o sociali negative, questo passaggio è cruciale per verificare se sia possibile subire reazioni e atteggiamenti ostili e svalutanti senza che la propria autostima ed identità ne escano distrutte.</w:t>
      </w:r>
    </w:p>
    <w:p w:rsidR="00000000" w:rsidDel="00000000" w:rsidP="00000000" w:rsidRDefault="00000000" w:rsidRPr="00000000" w14:paraId="00000094">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Per superare efficacemente questo tipo di test è fondamentale che il/la terapeuta non si lasci ferire o destabilizzare, offrendo un'esperienza emotiva positiva basata sulla propria tenuta interna. Mostrando di poter tollerare l'ostilità senza perdere il senso del proprio valore, sentirsi spaventato o controllato, il/la terapeuta agisce come un modello di ruolo sano. In tal modo, viene disconfermata la credenza patogena secondo cui un comportamento svalutante sia inevitabile, meritato o capace di annullare il valore della persona. Un aspetto particolarmente rilevante riguarda la gestione dei vissuti emotivi suscitati nel/la terapeuta. I test da passivo in attivo per compiacenza tendono infatti a evocare nel/nella terapeuta stati emotivi simili a quelli sperimentati dal/la paziente nelle esperienze traumatiche: sentimenti di inadeguatezza, colpa, timore di sbagliare o di “non essere abbastanza competente”. La capacità del/la terapeuta di riconoscere e contenere tali emozioni, senza agirle difensivamente, consente al/la paziente di fare un’esperienza nuova: quella di una persona capace di rimanere stabile e non traumatizzata anche di fronte alla rabbia, alla provocazione o alla sfiducia.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test da passivo in attivo per ribellione rappresenta una strategia in cui il/la paziente inverte i ruoli vissuti durante esperienze traumatiche infantili, comportandosi verso il/la terapeuta nel modo opposto a quello subito dai propri caregiver. In questo tipo di test, il/la paziente assume simbolicamente il ruolo di un “caregiver ideale”, mentre il/la terapeuta assume quello del Sé infantile vulnerabile. Nel corso del test, il/la paziente agisce in modo sano, protettivo o incoraggiante verso il/la terapeuta, sfidando le proprie credenze patogene. Ad esempio, un/una paziente LGBT+ che ha interiorizzato l’idea che esprimere il proprio orientamento sessuale possa generare disagio o rifiuto negli altri, può, ad esempio, lodare apertamente il/la terapeuta nel momento in cui rende pubblica o fa riferimento in seduta della propria identità o relazione LGBT+.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Attraverso questi test il/la paziente vuole legittimare i propri bisogni emotivi, verificare la sicurezza della relazione terapeutica e smentire le credenze patogene. Per superare efficacemente questo test, il/la terapeuta deve accogliere e legittimare il comportamento del/la paziente, dimostrando gradimento per l’attenzione e il sostegno ricevuti, senza rifiutarli o dimostrare freddezza.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Nei test osservativi, il/la paziente non agisce direttamente sulla relazione né provoca attivamente una risposta nell’altro, ma osserva in modo attento e il comportamento del/della, valutando se essa rappresenti una fonte di sicurezza o di pericolo rispetto alle proprie credenze patogene. Il rischio emotivo è contenuto, ma il valore informativo del test è elevato.</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Un uomo gay che, nei primi incontri di terapia, evita di parlare esplicitamente del proprio orientamento sessuale, ma osserva con attenzione se il/la terapeuta utilizza un linguaggio inclusivo, se dà per scontata l’eterosessualità o se lascia spazio a una pluralità di configurazioni relazionali senza giudizio sta facendo un test osservativo.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Ad esempio, il/la paziente può osservare se il/la terapeuta utilizza domande neutre come “Ha una relazione?” invece di formulazioni che presuppongono un orientamento eterosessuale (“Ha una compagna?”), o se attraverso l’uso dei pronomi dà per scontata un’identità cisgender, e se reagisce con naturalezza a tematiche legate all’identità sessuale. In questo caso, il test non consiste in una rivelazione esplicita, ma in una valutazione implicita della credenza patogena: “Se mi mostro per quello che sono, l’altro si irrigidirà o mi considererà problematico”. Solo quando il/la terapeuta dimostra costantemente di offrire una ambiente sicuro e privo di giudizio, il/la paziente può decidere di esporsi maggiormente.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La decisione di fare o non fare coming out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Le persone LGBT+ si trovano spesso a dover decidere se, quando e in quale misura rivelare aspetti della propria identità a familiari, amici o in contesti sociali più ampi. In questa scelta, è fondamentale esplorarne il significato soggettivo all’interno del piano inconscio del paziente: fare o non fare coming out può infatti configurarsi sia come un test relazionale volto a disconfermare credenze patogene, sia come un comportamento di compiacenza che tende a mantenerle e rafforzarle.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Quando la persona decide di dichiararsi, tale scelta può assumere la funzione di un test relazionale volto a disconfermare una credenza patogena e a sostenere il perseguimento di obiettivi sani. In questo processo, la persona espone la propria identità in contesti selezionati, monitorando le reazioni dell’altro per verificare se aspettative negative, sensi di colpa e timori di rifiuto possano essere smentiti. Il coming-out diviene così un atto di speranza e di ricerca di sicurezza relazionale attraverso cui il paziente esplora la possibilità di essere accolto nella propria autenticità senza confermare il senso di indegnità, rifiuto e pericolo associato alla propria identità. </w:t>
      </w:r>
    </w:p>
    <w:p w:rsidR="00000000" w:rsidDel="00000000" w:rsidP="00000000" w:rsidRDefault="00000000" w:rsidRPr="00000000" w14:paraId="0000009E">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Quando una persona decide di non fare coming out, tale scelta non va interpretata semplicemente come un evitamento o come un comportamento dal significato univoco. Al contrario, può rispondere a diverse esigenze, influenzate dalle credenze patogene, dai sensi di colpa interpersonali, dal livello di sicurezza percepita nelle relazioni e dagli obiettivi sani che la persona desidera raggiungere.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alcuni casi, la scelta di non rendere immediatamente visibile la propria identità può configurarsi come una strategia di protezione graduale. Il paziente valuta attentamente contesti, persone e tempi più adatti per rivelarsi, modulando l’esposizione in modo progressivo. L’atto di non rivelarsi non rappresenta una compiacenza, ma una decisione mirata a controllare e valutare i rischi percepiti, ridurre l’angoscia e comprendere se l’ambiente relazionale sia sufficientemente sicuro per mostrare la propria autenticità. Questa funzione protettiva consente al soggetto di dichiarare gradualmente la propria identità, minimizzando il rischio di ri-traumatizzazione o di esperienze di rifiuto.</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non dichiararsi può configurarsi come una modalità di compiacenza verso una credenza patogena, quando la scelta del/della paziente è conforme a convinzioni di indegnità, pericolosità o di sentirsi “sbagliato/a” rispetto alla propria identità. L’evitamento del coming out non rappresenta una semplice rinuncia all’espressione di sé, ma una strategia coerente con gli schemi patogeni sviluppati in contesti relazionali precoci e traumatici. La persona rinuncia alla propria autenticità perché la rivelazione della propria identità è percepita come minacciosa. Riconoscere questa compiacenza permette di comprendere che il/la paziente non sta modulando la propria autenticità per valutare il grado di protezione, ma sta agendo in coerenza con schemi patogeni che in passato gli/le hanno garantito una sicurezza. Solo individuando questa funzione il/la terapeuta può adattare le proprie risposte in maniera “pro-plan”, creando condizioni relazionali che gradualmente mettono in discussione la credenza patogena e consentono al/la paziente di sperimentare la propria autenticità senza timore di compromettere il senso di sicurezza interpersonale.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scelta di non fare coming out può avere, inoltre, la funzione di un test osservativo, attraverso cui la persona verifica la possibilità di disconfermare una credenza patogena, osservando attentamente segnali, atteggiamenti o risposte implicite ed esplicite degli altri, per valutare se l’ambiente è in grado di accogliere la sua autenticità senza confermare il senso di indegnità o essere rifiutato ed esporsi al rischio ri-traumatizzazione. In questi casi il test osservativo può costituire una premessa al test attivo realizzato attraverso il coming out.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Per il/la terapeuta, riconoscere la funzione che assume la scelta di non fare coming out è fondamentale per adottare interventi pro-plan e caso-specifici. La non visibilità, infatti, non possiede un significato unitario né generalizzabile: può configurarsi come una strategia protettiva graduale, come un atto di compiacenza volto a mantenere una credenza patogena, oppure come un test osservativo dell’ambiente relazionale finalizzato a valutarne la sicurezza.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lavoro terapeutico non ha l’obiettivo di promuovere il coming out in sé, ma a sostenere il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piano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inconscio del/della paziente nel perseguimento dei propri obiettivi sani. Il compito del/della terapeuta consiste nel costruire un contesto di sicurezza relazionale in cui la persona possa progressivamente mettere alla prova e disconfermare le credenze patogene che collegano l’espressione autentica di sé al rischio di rifiuto o di ferire l’altro. In questo spazio protetto, il/la paziente ha la possibilità di mostrarsi senza timore, sperimentando l’autenticità e la sicurezza e favorendo così la crescita personale, il benessere e relazioni più autentiche.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Differenze tra coming out: test relazionale o atto autopunitivo legato al senso di colpa da odio di sé</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Sebbene il coming out rappresenti prevalentemente un test relazionale orientato alla disconferma di convinzione negative, esistono alcune situazioni in cui tale esito non viene perseguito. Non tutti i coming out, infatti, possono essere intesi come tentativi volti a verificare la sicurezza del legame e a ottenere nuove esperienze relazionali positive. In alcuni casi essi assumono una funzione opposta: contribuiscono a rafforzare credenze patogene, spesso da odio di sé.</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L’odio di sé, a differenza di altre tipologie di senso di colpa che riguardano azioni specifiche, non è riconducibile a una colpa per ciò che si è fatto o non fatto, ma a una convinzione patogena che investe il valore stesso del Sé. Il suo nucleo risiede nella convinzione patogena di essere intrinsecamente sbagliati, indegni o privi di valore, e che la propria autenticità costituisca un pericolo per le relazioni significative.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Le credenze patogene possono essere, ad esempio:</w:t>
      </w:r>
    </w:p>
    <w:p w:rsidR="00000000" w:rsidDel="00000000" w:rsidP="00000000" w:rsidRDefault="00000000" w:rsidRPr="00000000" w14:paraId="000000AB">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“Non merito di essere felice per come sono”</w:t>
      </w:r>
    </w:p>
    <w:p w:rsidR="00000000" w:rsidDel="00000000" w:rsidP="00000000" w:rsidRDefault="00000000" w:rsidRPr="00000000" w14:paraId="000000AC">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“Sono un fallimento totale”.</w:t>
      </w:r>
    </w:p>
    <w:p w:rsidR="00000000" w:rsidDel="00000000" w:rsidP="00000000" w:rsidRDefault="00000000" w:rsidRPr="00000000" w14:paraId="000000AD">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“In me non c’è nulla di buono o di bello per cui gli altri possano amarmi”.</w:t>
      </w:r>
    </w:p>
    <w:p w:rsidR="00000000" w:rsidDel="00000000" w:rsidP="00000000" w:rsidRDefault="00000000" w:rsidRPr="00000000" w14:paraId="000000AE">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“Sono sbagliato”</w:t>
      </w:r>
    </w:p>
    <w:p w:rsidR="00000000" w:rsidDel="00000000" w:rsidP="00000000" w:rsidRDefault="00000000" w:rsidRPr="00000000" w14:paraId="000000AF">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“Se le persone sapessero chi sono davvero, non vorrebbero avere nulla a che fare con me”.</w:t>
      </w:r>
    </w:p>
    <w:p w:rsidR="00000000" w:rsidDel="00000000" w:rsidP="00000000" w:rsidRDefault="00000000" w:rsidRPr="00000000" w14:paraId="000000B0">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“Ho ingannato gli altri per farmi voler bene”.</w:t>
      </w:r>
    </w:p>
    <w:p w:rsidR="00000000" w:rsidDel="00000000" w:rsidP="00000000" w:rsidRDefault="00000000" w:rsidRPr="00000000" w14:paraId="000000B1">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“Merito di essere rifiutato”.</w:t>
      </w:r>
    </w:p>
    <w:p w:rsidR="00000000" w:rsidDel="00000000" w:rsidP="00000000" w:rsidRDefault="00000000" w:rsidRPr="00000000" w14:paraId="000000B2">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B3">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 Queste convinzioni rappresentano strategie adattive sviluppate in risposta a esperienze precoci di umiliazione, rifiuto, trascuratezza o abuso. Queste strategie si basano sulla “difesa morale” descritta da Fairbairn: per un/a figlio/a è più sicuro pensarsi come “cattivo/a” in un mondo governato da un genitore “giusto”, piuttosto che accettare l’idea di dipendere da un genitore incapace di amare o profondamente limitato (Gazzillo &amp; Kealy, 2025). Per preservare il legame e l’immagine del genitore, il/la bambino/a interiorizza l’aggressività e la svalutazione subite, trasformandole in odio verso sé stesso/a (Gazzillo &amp; Kealy, 2025). Identificarsi con il giudizio negativo del genitore permette di mantenere una rappresentazione di quest’ultimo come fondamentalmente giusto, anche quando è fonte di sofferenza. Pensare di meritare le umiliazioni a causa della propria “indegnità” conferisce al/alla bambino/a un illusorio senso di controllo: se lui/lei è il problema, può sperare di “diventare bravo/a” per cambiare la realtà ed essere finalmente amato/a. </w:t>
      </w:r>
    </w:p>
    <w:p w:rsidR="00000000" w:rsidDel="00000000" w:rsidP="00000000" w:rsidRDefault="00000000" w:rsidRPr="00000000" w14:paraId="000000B4">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questi tipi di esperienze la vergogna svolge un ruolo centrale. La vergogna è un’emozione relazionale complessa che caratterizza profondamente l’esperienza delle persone LGBT+ e ne influenza la costruzione dell’identità e la percezione di sé. Nella cornice della Control-Mastery Theory, essa agisce come un segnale interno di insicurezza dell’attaccamento, avvertendo la persona del rischio di subire umiliazione o rifiuto da parte delle figure significative; a differenza della colpa, non riguarda ciò che si è fatto, ma ciò che si è (Bush, 2019).</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L’origine della vergogna si colloca nelle relazioni primarie, quando i genitori trasmettono al/alla bambino/a svalutazione, giudizio o rifiuto verso aspetti del suo sé, come l’attrazione verso lo stesso sesso o espressioni di genere non conformi. Nei contesti familiari che enfatizzano conformità e controllo, il/la bambino/a può sviluppare la credenza patogena che solo l’adattamento alle aspettative garantisca l’amore e l’accettazione. Pur essendo dolorosa, la vergogna svolge una iniziale funzione adattiva di regolazione interpersonale: protegge il Sé vulnerabile limitandone l’espressione e orientando i comportamenti interpersonali in relazione al costante rischio percepito di rifiuto, favorendo ritiro e chiusura come strategie di difesa dal giudizio svalutante (Bush, 2019). Per le persone LGBT+, queste dinamiche risultano amplificate dalla pressione dell’eteronormatività e della cisnormatività, che alimentano credenze quali: «Ciò che sono non mi rende amabile» o «Se esprimo la mia autenticità merito di essere escluso».</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Quando tali esperienze si ripetono nel tempo, la vergogna può cronicizzarsi in una forma di autopunizione sostenuta dal senso di colpa da odio di sé (Crisafulli, Gazzillo, 2023). In questa prospettiva, l’odio di sé costituisce la base cognitiva, la convinzione di essere intrinsecamente “sbagliati”, mentre la vergogna rappresenta la risposta affettiva al timore che tale presunta inadeguatezza venga esposta.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vergogna non riguarda l’identità in sé, ma la convinzione di essere indegni d’amore a causa di essa; tale convinzione può condurre la persona a instaurare relazioni controllate o superficiali e ad attuare condotte autopunitive che limitano la possibilità di costruire legami affettivi profondi, ostacolando lo sviluppo di un Sé coerente e autentico.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 funzione dei comportamenti autopunitivi è quella di preservare i legami significativi: attribuire a sé la responsabilità della sofferenza e delle umiliazioni subite consente di non mettere in discussione i genitori, mantenendone un’immagine come buoni e affidabili, a costo della propria autostima e del proprio valore personale. In questo modo, la persona LGBT+ salvaguarda la dipendenza affettiva da figure percepite come indispensabili, preferendo pensarsi “sbagliata” piuttosto che affrontare l’angoscia di vivere in un mondo privo di protezione e giustizia.</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Giulio, 26 anni, arriva in terapia portando una lunga storia di vissuti di vergogna legati anche al proprio orientamento sessuale. È cresciuto in una famiglia molto rigida e giudicante, in cui il padre assumeva un atteggiamento particolarmente svalutante nei suoi confronti. Racconta diversi episodi in cui si è sentito umiliato. Una volta tornò a casa entusiasta per un ottimo voto in Storia dell’Arte, una materia che gli piaceva, e il padre, senza alzare lo sguardo dal giornale, commentò con tono sarcastico:</w:t>
        <w:br w:type="textWrapping"/>
        <w:t xml:space="preserve">“Non montarti la testa, avrai trovato un professore generoso o avrai avuto fortuna con le domande. Chiamami quando prenderai un voto decente in qualcosa che serva davvero a un uomo per stare al mondo”. In un’altra occasione, mentre Giulio parlava con alcuni familiari con entusiasmo di una mostra che aveva visto, il padre intervenne davanti a tutti:</w:t>
        <w:br w:type="textWrapping"/>
        <w:t xml:space="preserve">“Guardatelo come si agita per queste sciocchezze. Mi vergogno io per te a sentirti parlare così. Sembri proprio una femminuccia, cerca di non renderti ridicolo davanti agli altri”.</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Queste esperienze hanno contribuito a consolidare in lui un senso di vergogna cronica e sentimenti di inadeguatezza. Giulio ha interiorizza l’idea di essere “sbagliato”, “ridicolo” o “privo di valore”. Crede che la sua autenticità ed i suoi interessi siano fonte di vergogna per suo padre e che, se le persone lo conoscessero davvero, lo rifiuterebbero.</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Durante i primi mesi di terapia, Giulio racconta di desiderare di fare coming out soprattutto con il padre, pur essendo convinto che ciò provocherebbe una rottura irreparabile. In seduta emergono credenze patogene molto radicate, come: “Se mio padre sapesse chi sono davvero, mi disprezzerebbe” e “Mostrarmi significherebbe perdere per sempre il suo affetto”.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Dopo un periodo particolarmente stressante, Giulio decide improvvisamente di rivelare il proprio orientamento al padre. Tuttavia, lo fa in un contesto altamente sfavorevole: durante una cena familiare già carica di tensione. Racconta che, mentre i genitori discutevano animatamente per un conflitto legato a un’eredità, in cui una quota era stata destinata a lui e il padre si opponeva, sostenendo che non sarebbe stata utilizzata per cose “importanti” ma solo per le sue “cazzate”, si alza e esclama:</w:t>
        <w:br w:type="textWrapping"/>
        <w:t xml:space="preserve">“Tu non vuoi darmi questi soldi perché sono uno sporco frocio!”. La reazione del padre è durissima: lo accusa di essere una vergogna per la famiglia, lo insulta e gli ordina di uscire di casa. Da quel momento, il padre non gli rivolge più la parola. Ogni tentativo di Giulio di ricontattarlo o riaprire un dialogo viene ignorato. Quando Giulio torna in seduta dice che è profondamente ferito dalla reazione del padre, ma al tempo stesso appare stranamente rassegnato. Rivolgendosi alla terapeuta, dice:</w:t>
        <w:br w:type="textWrapping"/>
        <w:t xml:space="preserve">“In fondo lo sapevo che sarebbe andata così. È la conferma che non mi accetterà mai” e aggiunge: “So che ho scelto il momento sbagliato per dirlo.”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In quel momento diventa evidente come quel coming out non abbia funzionato tanto come un test orientato a verificare la sicurezza della relazione rispetto alla sua autenticità, bensì come un atto inconsciamente organizzato per confermare le sue credenze patogene sostenute dal senso di colpa da odio di sé, cioè siano autopunizioni. L’identità di Giulio si è organizzata sulla base delle esperienze e traumi vissuti nell’infanzia soprattutto nella relazione con il padre, sviluppando una credenza patogena secondo cui l’espressione del proprio orientamento sessuale costituiva un pericolo per la sicurezza e la stabilità dei legami affettivi significativi. In un contesto relazionale ostile, questa organizzazione si era sviluppata attraverso il meccanismo della difesa morale. Da bambino, Giulio ha attribuito a sé la responsabilità delle svalutazioni e delle umiliazioni subite pur di preservare l’immagine del padre come figura sufficientemente buona, sana e affidabile. Attribuirsi la responsabilità del rifiuto paterno (“mi rifiuta perché sono sbagliato”) ha garantito a Giulio una percezione illusoria di controllo sulla relazione: se il problema era lui, resta aperta la speranza che, modificando o inibendo parti di sé, possa finalmente essere accettato. Inoltre, anche un’eventuale accoglienza paterna non risulterebbe rassicurante, ma soggettivamente pericolosa, perché metterebbe in discussione gli schemi patogeni che gli hanno assicurato una minima prevedibilità e sicurezza relazionale. Rinunciare a questa difesa morale lo avrebbe costretto a riconoscere che le punizioni e le umiliazioni non erano “meritate”, ma dipendevano dall’inadeguatezza e dall’incapacità di amare del padre. Questa consapevolezza lo avrebbe esposto a un mondo vissuto come imprevedibile e privo di protezione, un’angoscia che Giulio ha cercato di evitare, preferendo attribuirsi la colpa per le umiliazioni piuttosto che confrontarsi con la limitatezza della persona da cui dipendeva.</w:t>
      </w:r>
    </w:p>
    <w:p w:rsidR="00000000" w:rsidDel="00000000" w:rsidP="00000000" w:rsidRDefault="00000000" w:rsidRPr="00000000" w14:paraId="000000C0">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C1">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Fare coming out in contesti ostili non si configura né come un errore di valutazione né come una condotta impulsiva o autodistruttiva, ma come un comportamento compiacente con il sistema di credenze patogene costruito per padroneggiare esperienze traumatiche precoci.  Quando prevale l’odio di sé, il coming out può non essere un test volto a disconfermare una convinzione, ma una condotta finalizzata a confermare aspettative traumatiche di rifiuto o abbandono. Se l'odio di sé è molto forte, la persona può sentirsi a disagio di fronte alla gentilezza o all’accoglienza, arrivando a provocare il rifiuto altrui per "riequilibrare" il proprio mondo interno e non mettere in discussione o criticare le figure traumatiche. In queste situazioni, l’esposizione della propria identità non è sostenuta dalla speranza di disconferma, ma si struttura in modo da rendere quasi certa una risposta negativa. Il coming out avviene così in contesti non sicuri, con modalità provocatorie o impulsive oppure rivolgendosi a interlocutori prevedibilmente ostili. Tali modalità non consentono la possibilità di aprirsi ad esperienze sane, ma contribuiscono a rafforzare l’organizzazione del sé fondata sull’idea di essere intrinsecamente indegni, pericolosi o non amabili.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Sebbene le credenze patogene abbiano svolto, in passato, una funzione protettiva, nel presente esse inibiscono il raggiungimento dei bisogni di autenticità e realizzazione, precludendo l’accesso a esperienze relazionali positive. Il lavoro terapeutico deve quindi offrire condizioni di sicurezza sufficienti affinché il/la paziente possa gradualmente mettere in discussione gli schemi patogeni, non sentirsi più obbligato/a di compiacere le figure genitoriali per preservare il legame con loro</w:t>
      </w:r>
      <w:r w:rsidDel="00000000" w:rsidR="00000000" w:rsidRPr="00000000">
        <w:rPr>
          <w:rFonts w:ascii="Garamond" w:cs="Garamond" w:eastAsia="Garamond" w:hAnsi="Garamond"/>
          <w:b w:val="0"/>
          <w:bCs w:val="0"/>
          <w:i w:val="0"/>
          <w:iCs w:val="0"/>
          <w:smallCaps w:val="0"/>
          <w:strike w:val="0"/>
          <w:color w:val="3886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per riappropriarsi della speranza di poter perseguire i propri obiettivi evolutivi sani.</w:t>
      </w:r>
    </w:p>
    <w:p w:rsidR="00000000" w:rsidDel="00000000" w:rsidP="00000000" w:rsidRDefault="00000000" w:rsidRPr="00000000" w14:paraId="000000C3">
      <w:pPr>
        <w:pStyle w:val="Heading4"/>
        <w:spacing w:before="0" w:line="360" w:lineRule="auto"/>
        <w:ind w:left="567" w:right="567" w:firstLine="283.9999999999999"/>
        <w:rPr>
          <w:rFonts w:ascii="Garamond" w:cs="Garamond" w:eastAsia="Garamond" w:hAnsi="Garamond"/>
          <w:b w:val="1"/>
          <w:bCs w:val="1"/>
          <w:i w:val="0"/>
          <w:iCs w:val="0"/>
          <w:color w:val="000000"/>
          <w:u w:val="none"/>
        </w:rPr>
      </w:pPr>
      <w:r w:rsidDel="00000000" w:rsidR="00000000" w:rsidRPr="00000000">
        <w:rPr>
          <w:rtl w:val="0"/>
        </w:rPr>
      </w:r>
    </w:p>
    <w:p w:rsidR="00000000" w:rsidDel="00000000" w:rsidP="00000000" w:rsidRDefault="00000000" w:rsidRPr="00000000" w14:paraId="000000C4">
      <w:pPr>
        <w:pStyle w:val="Heading4"/>
        <w:spacing w:before="0" w:line="360" w:lineRule="auto"/>
        <w:ind w:left="567" w:right="567" w:firstLine="283.9999999999999"/>
        <w:rPr>
          <w:rFonts w:ascii="Garamond" w:cs="Garamond" w:eastAsia="Garamond" w:hAnsi="Garamond"/>
          <w:b w:val="1"/>
          <w:bCs w:val="1"/>
          <w:i w:val="0"/>
          <w:iCs w:val="0"/>
          <w:color w:val="000000"/>
          <w:u w:val="none"/>
        </w:rPr>
      </w:pPr>
      <w:r w:rsidDel="00000000" w:rsidR="00000000" w:rsidRPr="00000000">
        <w:rPr>
          <w:rtl w:val="0"/>
        </w:rPr>
      </w:r>
    </w:p>
    <w:p w:rsidR="00000000" w:rsidDel="00000000" w:rsidP="00000000" w:rsidRDefault="00000000" w:rsidRPr="00000000" w14:paraId="000000C5">
      <w:pPr>
        <w:pStyle w:val="Heading4"/>
        <w:spacing w:before="0" w:line="360" w:lineRule="auto"/>
        <w:ind w:left="567" w:right="567" w:firstLine="283.9999999999999"/>
        <w:rPr>
          <w:rFonts w:ascii="Garamond" w:cs="Garamond" w:eastAsia="Garamond" w:hAnsi="Garamond"/>
          <w:b w:val="1"/>
          <w:bCs w:val="1"/>
          <w:i w:val="0"/>
          <w:iCs w:val="0"/>
          <w:color w:val="000000"/>
          <w:u w:val="none"/>
        </w:rPr>
      </w:pPr>
      <w:r w:rsidDel="00000000" w:rsidR="00000000" w:rsidRPr="00000000">
        <w:rPr>
          <w:rFonts w:ascii="Garamond" w:cs="Garamond" w:eastAsia="Garamond" w:hAnsi="Garamond"/>
          <w:b w:val="1"/>
          <w:bCs w:val="1"/>
          <w:i w:val="0"/>
          <w:iCs w:val="0"/>
          <w:color w:val="000000"/>
          <w:u w:val="none"/>
          <w:rtl w:val="0"/>
        </w:rPr>
        <w:t xml:space="preserve">Considerazioni conclusive</w:t>
      </w:r>
    </w:p>
    <w:p w:rsidR="00000000" w:rsidDel="00000000" w:rsidP="00000000" w:rsidRDefault="00000000" w:rsidRPr="00000000" w14:paraId="000000C6">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coming out non rappresenta un obiettivo normativo né un atto intrinsecamente emancipatorio; il suo significato dipende dalla funzione che assume rispetto al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piano</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inconscio del paziente e al suo sistema di credenze. Esso può configurarsi come un atto di speranza e una spinta adattiva quando l’esposizione autentica di sé agisce come test di disconferma, volto a trovare risposte nuove che smentiscano il pericolo associato all’autenticità; oppure come una strategia di compiacenza che attraverso</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schemi autopunitivi e di sabotaggio, rafforza la validità delle credenze patogene.</w:t>
      </w:r>
    </w:p>
    <w:p w:rsidR="00000000" w:rsidDel="00000000" w:rsidP="00000000" w:rsidRDefault="00000000" w:rsidRPr="00000000" w14:paraId="000000C8">
      <w:pPr>
        <w:spacing w:line="360" w:lineRule="auto"/>
        <w:ind w:right="567"/>
        <w:rPr>
          <w:rFonts w:ascii="Garamond" w:cs="Garamond" w:eastAsia="Garamond" w:hAnsi="Garamond"/>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Questa lettura consente di:</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Superare concezioni lineari e normative del coming out come atto unico e risolutivo.</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 coming out non può essere ridotto a un evento unico o a una scelta binaria ("dire o non dire"); esso è piuttosto un processo articolato di rivelazioni che si sviluppa nel tempo e in contesti differenti. Non costituisce un traguardo definitivo, ma un test permanente che si riattualizza in ogni nuova fase evolutiva e contesti sociali della vita.</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Guardare alla gradualità come strategia adattiva</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Procedere gradualmente nell’esprimere parti centrali del Sé non è segno di insicurezza o ambivalenza, ma rappresenta una strategia adattiva di gestione del rischio relazionale.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Questa modulazione permette di bilanciare il bisogno di autenticità con la necessità di proteggere il legame e prevenire una possibile ri-traumatizzazione. Questo percorso non è lineare e può includere oscillazioni tra momenti di apertura e strategie difensive, a seconda della sicurezza percepita nell'ambiente. Le ripetute disconferme delle credenze patogene rafforzano sicurezza e autostima. In presenza di una maggiore stabilità interna, eventuali rifiuti o discriminazioni tendono a perdere il carattere ri-traumatizzante, configurandosi come esperienze dolorose ma gestibili. Una volta consolidata la sicurezza, la persona diviene capace di reggere l’impatto di rifiuti e svalutazioni senza che esse compromettano l’integrità identitaria o ostacolino il perseguimento di obiettivi sani.</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Integrare l’identità con la sicurezza relazionale e le credenze.</w:t>
      </w:r>
      <w:r w:rsidDel="00000000" w:rsidR="00000000" w:rsidRPr="00000000">
        <w:rPr>
          <w:rtl w:val="0"/>
        </w:rPr>
      </w:r>
    </w:p>
    <w:p w:rsidR="00000000" w:rsidDel="00000000" w:rsidP="00000000" w:rsidRDefault="00000000" w:rsidRPr="00000000" w14:paraId="000000D4">
      <w:pPr>
        <w:spacing w:line="360" w:lineRule="auto"/>
        <w:ind w:left="567" w:right="567" w:firstLine="283.9999999999999"/>
        <w:rPr>
          <w:rFonts w:ascii="Garamond" w:cs="Garamond" w:eastAsia="Garamond" w:hAnsi="Garamond"/>
        </w:rPr>
      </w:pPr>
      <w:r w:rsidDel="00000000" w:rsidR="00000000" w:rsidRPr="00000000">
        <w:rPr>
          <w:rFonts w:ascii="Garamond" w:cs="Garamond" w:eastAsia="Garamond" w:hAnsi="Garamond"/>
          <w:rtl w:val="0"/>
        </w:rPr>
        <w:t xml:space="preserve">La scelta di dichiararsi delle persone LGBT+ è guidata da un sistema interconnesso in cui l'identità sessuale si intreccia con credenze patogene e bisogni di sicurezza affettiva.</w:t>
      </w:r>
    </w:p>
    <w:p w:rsidR="00000000" w:rsidDel="00000000" w:rsidP="00000000" w:rsidRDefault="00000000" w:rsidRPr="00000000" w14:paraId="000000D5">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Valutare il coming out come test di disconferma e come atto di conferma delle credenze in una prospettiva non patologizzante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È fondamentale distinguere tra comportamenti volti </w:t>
      </w:r>
      <w:r w:rsidDel="00000000" w:rsidR="00000000" w:rsidRPr="00000000">
        <w:rPr>
          <w:rFonts w:ascii="Garamond" w:cs="Garamond" w:eastAsia="Garamond" w:hAnsi="Garamond"/>
          <w:b w:val="0"/>
          <w:bCs w:val="0"/>
          <w:i w:val="0"/>
          <w:iCs w:val="0"/>
          <w:smallCaps w:val="0"/>
          <w:strike w:val="0"/>
          <w:color w:val="388600"/>
          <w:sz w:val="24"/>
          <w:szCs w:val="24"/>
          <w:u w:val="none"/>
          <w:shd w:fill="auto" w:val="clear"/>
          <w:vertAlign w:val="baseline"/>
          <w:rtl w:val="0"/>
        </w:rPr>
        <w:t xml:space="preserve">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disconfermare le credenze patogene e quelli che sembrano confermarle, comprendendo la logica adattiva di entrambi.</w:t>
      </w:r>
    </w:p>
    <w:p w:rsidR="00000000" w:rsidDel="00000000" w:rsidP="00000000" w:rsidRDefault="00000000" w:rsidRPr="00000000" w14:paraId="000000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Comportamenti di disconferma: sono prove con cui la persona sfida la credenza traumatica cercando un'esperienza emotiva positiva che legittimi il suo diritto a essere felice.</w:t>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Comportamenti di conferma: in alcuni casi, il coming out può essere organizzato inconsciamente per ottenere un rifiuto. Questo non è un atto impulsivo, ma una strategia per mantenere una coerenza interna e proteggere l’equilibrio emotivo: la certezza del rifiuto è vissuta come più tollerabile dell’angoscia legata a una speranza percepita come potenzialmente pericolosa.</w:t>
      </w:r>
    </w:p>
    <w:p w:rsidR="00000000" w:rsidDel="00000000" w:rsidP="00000000" w:rsidRDefault="00000000" w:rsidRPr="00000000" w14:paraId="000000DA">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Il significato del coming out può essere interpretato come un processo dinamico che si sviluppa lungo un continuum evolutivo e relazionale.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Nelle fasi iniziali, la rivelazione di sé può configurarsi principalmente come test relazionale e atto di speranza, attraverso il quale la persona cerca di disconfermare le proprie credenze patogene. Quando l’ambiente, o la relazione terapeutica, risponde superando i test e offrendo risposte di accoglienza e esperienze relazionali sane, la persona sviluppa un crescente senso di sicurezza relazionale e sicurezza di sé. La progressiva disconferma delle aspettative riduce l’angoscia e le inibizioni, determinando un cambiamento della funzione del coming out: da strategia orientata alla verifica della sicurezza del legame ad atto affermativo del Sé. La rivelazione non è più organizzata come test relazionale, ma può assumere la funzione di affermazione autentica e libera della propria identità. Queste funzioni possono coesistere nella vita delle persone LGBT+, e il significato attribuito al coming out varia in relazione ai contesti sociali e relazionali e al grado di protezione percepita nel legame e nella sicurezza di sé.</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single"/>
          <w:shd w:fill="auto" w:val="clear"/>
          <w:vertAlign w:val="baseline"/>
          <w:rtl w:val="0"/>
        </w:rPr>
        <w:t xml:space="preserve">Orientare gli interventi e l’atteggiamento del/della terapeuta rispetto alla decisione del coming out.</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Il/la terapeuta non promuove il coming out come "obbligo" per il benessere, ma lavora per ri-costruire un senso di sicurezza nella relazione terapeutica. L'obiettivo è offrire al/alla paziente le condizioni necessarie affinché la visibilità diventi una scelta libera, un "atto di speranza" volto a disconfermare le credenze patogene e a riappropriarsi della possibilità di essere sé stessi senza la paura di perdere il legame con l'altro.</w:t>
      </w:r>
    </w:p>
    <w:p w:rsidR="00000000" w:rsidDel="00000000" w:rsidP="00000000" w:rsidRDefault="00000000" w:rsidRPr="00000000" w14:paraId="000000E1">
      <w:pPr>
        <w:spacing w:line="360" w:lineRule="auto"/>
        <w:ind w:right="567"/>
        <w:rPr>
          <w:rFonts w:ascii="Garamond" w:cs="Garamond" w:eastAsia="Garamond" w:hAnsi="Garamond"/>
        </w:rPr>
      </w:pPr>
      <w:r w:rsidDel="00000000" w:rsidR="00000000" w:rsidRPr="00000000">
        <w:rPr>
          <w:rtl w:val="0"/>
        </w:rPr>
      </w:r>
    </w:p>
    <w:p w:rsidR="00000000" w:rsidDel="00000000" w:rsidP="00000000" w:rsidRDefault="00000000" w:rsidRPr="00000000" w14:paraId="000000E2">
      <w:pPr>
        <w:spacing w:line="360" w:lineRule="auto"/>
        <w:ind w:right="567"/>
        <w:rPr>
          <w:rFonts w:ascii="Garamond" w:cs="Garamond" w:eastAsia="Garamond" w:hAnsi="Garamond"/>
        </w:rPr>
      </w:pPr>
      <w:r w:rsidDel="00000000" w:rsidR="00000000" w:rsidRPr="00000000">
        <w:rPr>
          <w:rtl w:val="0"/>
        </w:rPr>
      </w:r>
    </w:p>
    <w:p w:rsidR="00000000" w:rsidDel="00000000" w:rsidP="00000000" w:rsidRDefault="00000000" w:rsidRPr="00000000" w14:paraId="000000E3">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E4">
      <w:pPr>
        <w:spacing w:line="360" w:lineRule="auto"/>
        <w:ind w:right="567" w:firstLine="851"/>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E5">
      <w:pPr>
        <w:spacing w:line="360" w:lineRule="auto"/>
        <w:ind w:right="567" w:firstLine="851"/>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BIBLIOGRAFIA</w:t>
      </w:r>
    </w:p>
    <w:p w:rsidR="00000000" w:rsidDel="00000000" w:rsidP="00000000" w:rsidRDefault="00000000" w:rsidRPr="00000000" w14:paraId="000000E6">
      <w:pPr>
        <w:spacing w:line="360" w:lineRule="auto"/>
        <w:ind w:left="567" w:right="567" w:firstLine="283.9999999999999"/>
        <w:rPr>
          <w:rFonts w:ascii="Garamond" w:cs="Garamond" w:eastAsia="Garamond" w:hAnsi="Garamond"/>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Bush M. (2019</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La vergogna. </w:t>
      </w:r>
      <w:hyperlink r:id="rId6">
        <w:r w:rsidDel="00000000" w:rsidR="00000000" w:rsidRPr="00000000">
          <w:rPr>
            <w:rFonts w:ascii="Garamond" w:cs="Garamond" w:eastAsia="Garamond" w:hAnsi="Garamond"/>
            <w:b w:val="0"/>
            <w:bCs w:val="0"/>
            <w:i w:val="1"/>
            <w:iCs w:val="1"/>
            <w:smallCaps w:val="0"/>
            <w:strike w:val="0"/>
            <w:color w:val="0563c1"/>
            <w:sz w:val="24"/>
            <w:szCs w:val="24"/>
            <w:u w:val="single"/>
            <w:shd w:fill="auto" w:val="clear"/>
            <w:vertAlign w:val="baseline"/>
            <w:rtl w:val="0"/>
          </w:rPr>
          <w:t xml:space="preserve">https://www.cmt-ig.org/articoli/vergogna-marshall-bush</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Baiocco R; Terriaca C. (2019),</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Quanta bellezza. Mamme e papà di figlie lesbiche e figli gay si raccontano.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McGraw-Hill Education (Italy)</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Cass, V. C. (1979). Homosexual identity formation: A theoretical model.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Journal of Homosexuality</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4(3), 219-235.</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Coleman E.</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(1982),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Developmental stages of the coming out process,</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in Journal of Homosexuality, pp.31-42.</w:t>
      </w:r>
    </w:p>
    <w:p w:rsidR="00000000" w:rsidDel="00000000" w:rsidP="00000000" w:rsidRDefault="00000000" w:rsidRPr="00000000" w14:paraId="000000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Gazzillo F. (2021),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Fidarsi dei pazienti. Introduzione alla Control Mastery Theory</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Raffaello Cortina, Milano</w:t>
      </w:r>
    </w:p>
    <w:p w:rsidR="00000000" w:rsidDel="00000000" w:rsidP="00000000" w:rsidRDefault="00000000" w:rsidRPr="00000000" w14:paraId="000000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Gazzillo F., Kealy D., E. Fiorenza, M. Rondini (2024),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Tests and attitude to help patients overcome their pathogenic</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Journal of Clinical Psychology</w:t>
      </w:r>
    </w:p>
    <w:p w:rsidR="00000000" w:rsidDel="00000000" w:rsidP="00000000" w:rsidRDefault="00000000" w:rsidRPr="00000000" w14:paraId="000000E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Gazzillo, F. Kealy, M. Bush (2022),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"Patients’ Tests and Clinicians’ Emotions: A Clinical Illustration",</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Journal of Contemporary Psychotherapy</w:t>
      </w:r>
    </w:p>
    <w:p w:rsidR="00000000" w:rsidDel="00000000" w:rsidP="00000000" w:rsidRDefault="00000000" w:rsidRPr="00000000" w14:paraId="000000E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Gazzillo F. (a cura di), (2023</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La Control Mastery Theory nella pratica clinica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Carrocci Editori- Manuali Faber</w:t>
      </w:r>
    </w:p>
    <w:p w:rsidR="00000000" w:rsidDel="00000000" w:rsidP="00000000" w:rsidRDefault="00000000" w:rsidRPr="00000000" w14:paraId="000000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Gazzillo F, Leonardi J., Bush M., (</w:t>
      </w:r>
      <w:r w:rsidDel="00000000" w:rsidR="00000000" w:rsidRPr="00000000">
        <w:rPr>
          <w:rFonts w:ascii="Garamond" w:cs="Garamond" w:eastAsia="Garamond" w:hAnsi="Garamond"/>
          <w:b w:val="0"/>
          <w:bCs w:val="0"/>
          <w:i w:val="0"/>
          <w:iCs w:val="0"/>
          <w:smallCaps w:val="0"/>
          <w:strike w:val="0"/>
          <w:color w:val="231f20"/>
          <w:sz w:val="24"/>
          <w:szCs w:val="24"/>
          <w:u w:val="none"/>
          <w:shd w:fill="auto" w:val="clear"/>
          <w:vertAlign w:val="baseline"/>
          <w:rtl w:val="0"/>
        </w:rPr>
        <w:t xml:space="preserve">2020), </w:t>
      </w:r>
      <w:r w:rsidDel="00000000" w:rsidR="00000000" w:rsidRPr="00000000">
        <w:rPr>
          <w:rFonts w:ascii="Garamond" w:cs="Garamond" w:eastAsia="Garamond" w:hAnsi="Garamond"/>
          <w:b w:val="0"/>
          <w:bCs w:val="0"/>
          <w:i w:val="1"/>
          <w:iCs w:val="1"/>
          <w:smallCaps w:val="0"/>
          <w:strike w:val="0"/>
          <w:color w:val="231f20"/>
          <w:sz w:val="24"/>
          <w:szCs w:val="24"/>
          <w:u w:val="none"/>
          <w:shd w:fill="auto" w:val="clear"/>
          <w:vertAlign w:val="baseline"/>
          <w:rtl w:val="0"/>
        </w:rPr>
        <w:t xml:space="preserve">Pathological worry and rumination according to CMT,</w:t>
      </w:r>
      <w:r w:rsidDel="00000000" w:rsidR="00000000" w:rsidRPr="00000000">
        <w:rPr>
          <w:rFonts w:ascii="Garamond" w:cs="Garamond" w:eastAsia="Garamond" w:hAnsi="Garamond"/>
          <w:b w:val="0"/>
          <w:bCs w:val="0"/>
          <w:i w:val="0"/>
          <w:iCs w:val="0"/>
          <w:smallCaps w:val="0"/>
          <w:strike w:val="0"/>
          <w:color w:val="231f20"/>
          <w:sz w:val="24"/>
          <w:szCs w:val="24"/>
          <w:u w:val="none"/>
          <w:shd w:fill="auto" w:val="clear"/>
          <w:vertAlign w:val="baseline"/>
          <w:rtl w:val="0"/>
        </w:rPr>
        <w:t xml:space="preserve"> American Psychological Association</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231f20"/>
          <w:sz w:val="24"/>
          <w:szCs w:val="24"/>
          <w:u w:val="none"/>
          <w:shd w:fill="auto" w:val="clear"/>
          <w:vertAlign w:val="baseline"/>
          <w:rtl w:val="0"/>
        </w:rPr>
        <w:t xml:space="preserve">Graglia M., Rigliano. P.  (a cura di), (2006), </w:t>
      </w:r>
      <w:r w:rsidDel="00000000" w:rsidR="00000000" w:rsidRPr="00000000">
        <w:rPr>
          <w:rFonts w:ascii="Garamond" w:cs="Garamond" w:eastAsia="Garamond" w:hAnsi="Garamond"/>
          <w:b w:val="0"/>
          <w:bCs w:val="0"/>
          <w:i w:val="1"/>
          <w:iCs w:val="1"/>
          <w:smallCaps w:val="0"/>
          <w:strike w:val="0"/>
          <w:color w:val="231f20"/>
          <w:sz w:val="24"/>
          <w:szCs w:val="24"/>
          <w:u w:val="none"/>
          <w:shd w:fill="auto" w:val="clear"/>
          <w:vertAlign w:val="baseline"/>
          <w:rtl w:val="0"/>
        </w:rPr>
        <w:t xml:space="preserve">Gay e lesbiche in psicoterapia,</w:t>
      </w:r>
      <w:r w:rsidDel="00000000" w:rsidR="00000000" w:rsidRPr="00000000">
        <w:rPr>
          <w:rFonts w:ascii="Garamond" w:cs="Garamond" w:eastAsia="Garamond" w:hAnsi="Garamond"/>
          <w:b w:val="0"/>
          <w:bCs w:val="0"/>
          <w:i w:val="0"/>
          <w:iCs w:val="0"/>
          <w:smallCaps w:val="0"/>
          <w:strike w:val="0"/>
          <w:color w:val="231f20"/>
          <w:sz w:val="24"/>
          <w:szCs w:val="24"/>
          <w:u w:val="none"/>
          <w:shd w:fill="auto" w:val="clear"/>
          <w:vertAlign w:val="baseline"/>
          <w:rtl w:val="0"/>
        </w:rPr>
        <w:t xml:space="preserve"> RaffaelloCortinaEditore</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567" w:firstLine="424.99999999999994"/>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231f20"/>
          <w:sz w:val="24"/>
          <w:szCs w:val="24"/>
          <w:u w:val="none"/>
          <w:shd w:fill="auto" w:val="clear"/>
          <w:vertAlign w:val="baseline"/>
          <w:rtl w:val="0"/>
        </w:rPr>
        <w:t xml:space="preserve">Graglia M., (2009), </w:t>
      </w:r>
      <w:r w:rsidDel="00000000" w:rsidR="00000000" w:rsidRPr="00000000">
        <w:rPr>
          <w:rFonts w:ascii="Garamond" w:cs="Garamond" w:eastAsia="Garamond" w:hAnsi="Garamond"/>
          <w:b w:val="0"/>
          <w:bCs w:val="0"/>
          <w:i w:val="1"/>
          <w:iCs w:val="1"/>
          <w:smallCaps w:val="0"/>
          <w:strike w:val="0"/>
          <w:color w:val="231f20"/>
          <w:sz w:val="24"/>
          <w:szCs w:val="24"/>
          <w:u w:val="none"/>
          <w:shd w:fill="auto" w:val="clear"/>
          <w:vertAlign w:val="baseline"/>
          <w:rtl w:val="0"/>
        </w:rPr>
        <w:t xml:space="preserve">Psicoterapia e omosessualità</w:t>
      </w:r>
      <w:r w:rsidDel="00000000" w:rsidR="00000000" w:rsidRPr="00000000">
        <w:rPr>
          <w:rFonts w:ascii="Garamond" w:cs="Garamond" w:eastAsia="Garamond" w:hAnsi="Garamond"/>
          <w:b w:val="0"/>
          <w:bCs w:val="0"/>
          <w:i w:val="0"/>
          <w:iCs w:val="0"/>
          <w:smallCaps w:val="0"/>
          <w:strike w:val="0"/>
          <w:color w:val="231f20"/>
          <w:sz w:val="24"/>
          <w:szCs w:val="24"/>
          <w:u w:val="none"/>
          <w:shd w:fill="auto" w:val="clear"/>
          <w:vertAlign w:val="baseline"/>
          <w:rtl w:val="0"/>
        </w:rPr>
        <w:t xml:space="preserve">, Carocci Faber</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231f20"/>
          <w:sz w:val="24"/>
          <w:szCs w:val="24"/>
          <w:u w:val="none"/>
          <w:shd w:fill="auto" w:val="clear"/>
          <w:vertAlign w:val="baseline"/>
          <w:rtl w:val="0"/>
        </w:rPr>
        <w:t xml:space="preserve">Fimiani R. (2018), </w:t>
      </w:r>
      <w:r w:rsidDel="00000000" w:rsidR="00000000" w:rsidRPr="00000000">
        <w:rPr>
          <w:rFonts w:ascii="Garamond" w:cs="Garamond" w:eastAsia="Garamond" w:hAnsi="Garamond"/>
          <w:b w:val="0"/>
          <w:bCs w:val="0"/>
          <w:i w:val="1"/>
          <w:iCs w:val="1"/>
          <w:smallCaps w:val="0"/>
          <w:strike w:val="0"/>
          <w:color w:val="231f20"/>
          <w:sz w:val="24"/>
          <w:szCs w:val="24"/>
          <w:u w:val="none"/>
          <w:shd w:fill="auto" w:val="clear"/>
          <w:vertAlign w:val="baseline"/>
          <w:rtl w:val="0"/>
        </w:rPr>
        <w:t xml:space="preserve">L’odio di sè.</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Garamond" w:cs="Garamond" w:eastAsia="Garamond" w:hAnsi="Garamond"/>
            <w:b w:val="0"/>
            <w:bCs w:val="0"/>
            <w:i w:val="0"/>
            <w:iCs w:val="0"/>
            <w:smallCaps w:val="0"/>
            <w:strike w:val="0"/>
            <w:color w:val="0563c1"/>
            <w:sz w:val="24"/>
            <w:szCs w:val="24"/>
            <w:u w:val="single"/>
            <w:shd w:fill="auto" w:val="clear"/>
            <w:vertAlign w:val="baseline"/>
            <w:rtl w:val="0"/>
          </w:rPr>
          <w:t xml:space="preserve">https://www.cmt-ig.org/papers/odio-di-se</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Meyer, I. H. (1995).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Minority stress and mental health in gay</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567" w:firstLine="283"/>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Journal of Health and Social Behavior, pp.38-56.</w:t>
      </w:r>
    </w:p>
    <w:p w:rsidR="00000000" w:rsidDel="00000000" w:rsidP="00000000" w:rsidRDefault="00000000" w:rsidRPr="00000000" w14:paraId="000000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Rosario M., Hunter J., Maguen S.,(2001)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The Coming</w:t>
      </w:r>
      <w:r w:rsidDel="00000000" w:rsidR="00000000" w:rsidRPr="00000000">
        <w:rPr>
          <w:rFonts w:ascii="Cambria Math" w:cs="Cambria Math" w:eastAsia="Cambria Math" w:hAnsi="Cambria Math"/>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Out Process and Its Adaptational and Health</w:t>
      </w:r>
      <w:r w:rsidDel="00000000" w:rsidR="00000000" w:rsidRPr="00000000">
        <w:rPr>
          <w:rFonts w:ascii="Cambria Math" w:cs="Cambria Math" w:eastAsia="Cambria Math" w:hAnsi="Cambria Math"/>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Related Associations Among Gay, Lesbian, and Bisexual Youths: Stipulation and Exploration of a Model</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American Journal of Community Psychology</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Rigliano P., Ciliberto J., Ferrari F.,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(2012) Curare i gay? Oltre l’ideologia riparativa dell’omosessaulità.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RaffaelloCortinaEditore</w:t>
      </w:r>
    </w:p>
    <w:p w:rsidR="00000000" w:rsidDel="00000000" w:rsidP="00000000" w:rsidRDefault="00000000" w:rsidRPr="00000000" w14:paraId="000000F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67" w:hanging="425"/>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Troiden, R. R. (1989).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The formation of homosexual identities</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Journal of Homosexuality, 17(1-2), 43-73.</w:t>
      </w:r>
    </w:p>
    <w:p w:rsidR="00000000" w:rsidDel="00000000" w:rsidP="00000000" w:rsidRDefault="00000000" w:rsidRPr="00000000" w14:paraId="000000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567" w:right="567" w:firstLine="283.9999999999999"/>
        <w:jc w:val="left"/>
        <w:rPr>
          <w:color w:val="000000"/>
          <w:sz w:val="24"/>
          <w:szCs w:val="24"/>
          <w:u w:val="no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Weiss J., (2024), </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Come funziona la psicoterapia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Bollati Boringhieri</w:t>
      </w:r>
    </w:p>
    <w:sectPr>
      <w:footerReference r:id="rId8" w:type="default"/>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font w:name="Times New Roman"/>
  <w:font w:name="Cambria Math"/>
  <w:font w:name="Helvetica Neue"/>
  <w:font w:name="Noto Sans Symbols"/>
  <w:font w:name="Ari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z w:val="20"/>
        <w:szCs w:val="2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sz w:val="20"/>
        <w:szCs w:val="2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z w:val="20"/>
        <w:szCs w:val="2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sz w:val="20"/>
        <w:szCs w:val="2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2880" w:hanging="36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3600" w:hanging="36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5040" w:hanging="36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5760" w:hanging="36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z w:val="20"/>
        <w:szCs w:val="20"/>
        <w:shd w:fill="auto" w:val="clear"/>
        <w:vertAlign w:val="baseline"/>
      </w:rPr>
    </w:lvl>
  </w:abstractNum>
  <w:abstractNum w:abstractNumId="4">
    <w:lvl w:ilvl="0">
      <w:start w:val="1"/>
      <w:numFmt w:val="bullet"/>
      <w:lvlText w:val="●"/>
      <w:lvlJc w:val="left"/>
      <w:pPr>
        <w:ind w:left="426" w:firstLine="0"/>
      </w:pPr>
      <w:rPr>
        <w:rFonts w:ascii="Noto Sans Symbols" w:cs="Noto Sans Symbols" w:eastAsia="Noto Sans Symbols" w:hAnsi="Noto Sans Symbols"/>
        <w:b w:val="0"/>
        <w:bCs w:val="0"/>
        <w:i w:val="0"/>
        <w:iCs w:val="0"/>
        <w:smallCaps w:val="0"/>
        <w:strike w:val="0"/>
        <w:sz w:val="20"/>
        <w:szCs w:val="20"/>
        <w:shd w:fill="auto" w:val="clear"/>
        <w:vertAlign w:val="baseline"/>
      </w:rPr>
    </w:lvl>
    <w:lvl w:ilvl="1">
      <w:start w:val="1"/>
      <w:numFmt w:val="bullet"/>
      <w:lvlText w:val="o"/>
      <w:lvlJc w:val="left"/>
      <w:pPr>
        <w:ind w:left="1146" w:firstLine="0"/>
      </w:pPr>
      <w:rPr>
        <w:rFonts w:ascii="Arimo" w:cs="Arimo" w:eastAsia="Arimo" w:hAnsi="Arimo"/>
        <w:b w:val="0"/>
        <w:bCs w:val="0"/>
        <w:i w:val="0"/>
        <w:iCs w:val="0"/>
        <w:smallCaps w:val="0"/>
        <w:strike w:val="0"/>
        <w:sz w:val="20"/>
        <w:szCs w:val="20"/>
        <w:shd w:fill="auto" w:val="clear"/>
        <w:vertAlign w:val="baseline"/>
      </w:rPr>
    </w:lvl>
    <w:lvl w:ilvl="2">
      <w:start w:val="1"/>
      <w:numFmt w:val="bullet"/>
      <w:lvlText w:val="▪"/>
      <w:lvlJc w:val="left"/>
      <w:pPr>
        <w:ind w:left="1866" w:firstLine="0"/>
      </w:pPr>
      <w:rPr>
        <w:rFonts w:ascii="Arimo" w:cs="Arimo" w:eastAsia="Arimo" w:hAnsi="Arimo"/>
        <w:b w:val="0"/>
        <w:bCs w:val="0"/>
        <w:i w:val="0"/>
        <w:iCs w:val="0"/>
        <w:smallCaps w:val="0"/>
        <w:strike w:val="0"/>
        <w:sz w:val="20"/>
        <w:szCs w:val="20"/>
        <w:shd w:fill="auto" w:val="clear"/>
        <w:vertAlign w:val="baseline"/>
      </w:rPr>
    </w:lvl>
    <w:lvl w:ilvl="3">
      <w:start w:val="1"/>
      <w:numFmt w:val="bullet"/>
      <w:lvlText w:val="▪"/>
      <w:lvlJc w:val="left"/>
      <w:pPr>
        <w:ind w:left="2586" w:firstLine="0"/>
      </w:pPr>
      <w:rPr>
        <w:rFonts w:ascii="Arimo" w:cs="Arimo" w:eastAsia="Arimo" w:hAnsi="Arimo"/>
        <w:b w:val="0"/>
        <w:bCs w:val="0"/>
        <w:i w:val="0"/>
        <w:iCs w:val="0"/>
        <w:smallCaps w:val="0"/>
        <w:strike w:val="0"/>
        <w:sz w:val="20"/>
        <w:szCs w:val="20"/>
        <w:shd w:fill="auto" w:val="clear"/>
        <w:vertAlign w:val="baseline"/>
      </w:rPr>
    </w:lvl>
    <w:lvl w:ilvl="4">
      <w:start w:val="1"/>
      <w:numFmt w:val="bullet"/>
      <w:lvlText w:val="▪"/>
      <w:lvlJc w:val="left"/>
      <w:pPr>
        <w:ind w:left="3306" w:firstLine="0"/>
      </w:pPr>
      <w:rPr>
        <w:rFonts w:ascii="Arimo" w:cs="Arimo" w:eastAsia="Arimo" w:hAnsi="Arimo"/>
        <w:b w:val="0"/>
        <w:bCs w:val="0"/>
        <w:i w:val="0"/>
        <w:iCs w:val="0"/>
        <w:smallCaps w:val="0"/>
        <w:strike w:val="0"/>
        <w:sz w:val="20"/>
        <w:szCs w:val="20"/>
        <w:shd w:fill="auto" w:val="clear"/>
        <w:vertAlign w:val="baseline"/>
      </w:rPr>
    </w:lvl>
    <w:lvl w:ilvl="5">
      <w:start w:val="1"/>
      <w:numFmt w:val="bullet"/>
      <w:lvlText w:val="▪"/>
      <w:lvlJc w:val="left"/>
      <w:pPr>
        <w:ind w:left="4026" w:firstLine="0"/>
      </w:pPr>
      <w:rPr>
        <w:rFonts w:ascii="Arimo" w:cs="Arimo" w:eastAsia="Arimo" w:hAnsi="Arimo"/>
        <w:b w:val="0"/>
        <w:bCs w:val="0"/>
        <w:i w:val="0"/>
        <w:iCs w:val="0"/>
        <w:smallCaps w:val="0"/>
        <w:strike w:val="0"/>
        <w:sz w:val="20"/>
        <w:szCs w:val="20"/>
        <w:shd w:fill="auto" w:val="clear"/>
        <w:vertAlign w:val="baseline"/>
      </w:rPr>
    </w:lvl>
    <w:lvl w:ilvl="6">
      <w:start w:val="1"/>
      <w:numFmt w:val="bullet"/>
      <w:lvlText w:val="▪"/>
      <w:lvlJc w:val="left"/>
      <w:pPr>
        <w:ind w:left="4746" w:firstLine="0"/>
      </w:pPr>
      <w:rPr>
        <w:rFonts w:ascii="Arimo" w:cs="Arimo" w:eastAsia="Arimo" w:hAnsi="Arimo"/>
        <w:b w:val="0"/>
        <w:bCs w:val="0"/>
        <w:i w:val="0"/>
        <w:iCs w:val="0"/>
        <w:smallCaps w:val="0"/>
        <w:strike w:val="0"/>
        <w:sz w:val="20"/>
        <w:szCs w:val="20"/>
        <w:shd w:fill="auto" w:val="clear"/>
        <w:vertAlign w:val="baseline"/>
      </w:rPr>
    </w:lvl>
    <w:lvl w:ilvl="7">
      <w:start w:val="1"/>
      <w:numFmt w:val="bullet"/>
      <w:lvlText w:val="▪"/>
      <w:lvlJc w:val="left"/>
      <w:pPr>
        <w:ind w:left="5466" w:firstLine="0"/>
      </w:pPr>
      <w:rPr>
        <w:rFonts w:ascii="Arimo" w:cs="Arimo" w:eastAsia="Arimo" w:hAnsi="Arimo"/>
        <w:b w:val="0"/>
        <w:bCs w:val="0"/>
        <w:i w:val="0"/>
        <w:iCs w:val="0"/>
        <w:smallCaps w:val="0"/>
        <w:strike w:val="0"/>
        <w:sz w:val="20"/>
        <w:szCs w:val="20"/>
        <w:shd w:fill="auto" w:val="clear"/>
        <w:vertAlign w:val="baseline"/>
      </w:rPr>
    </w:lvl>
    <w:lvl w:ilvl="8">
      <w:start w:val="1"/>
      <w:numFmt w:val="bullet"/>
      <w:lvlText w:val="▪"/>
      <w:lvlJc w:val="left"/>
      <w:pPr>
        <w:ind w:left="6186" w:firstLine="0"/>
      </w:pPr>
      <w:rPr>
        <w:rFonts w:ascii="Arimo" w:cs="Arimo" w:eastAsia="Arimo" w:hAnsi="Arimo"/>
        <w:b w:val="0"/>
        <w:bCs w:val="0"/>
        <w:i w:val="0"/>
        <w:iCs w:val="0"/>
        <w:smallCaps w:val="0"/>
        <w:strike w:val="0"/>
        <w:sz w:val="20"/>
        <w:szCs w:val="20"/>
        <w:shd w:fill="auto" w:val="clea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hd w:fill="auto" w:val="clear"/>
        <w:vertAlign w:val="baseline"/>
      </w:rPr>
    </w:lvl>
  </w:abstractNum>
  <w:abstractNum w:abstractNumId="6">
    <w:lvl w:ilvl="0">
      <w:start w:val="1"/>
      <w:numFmt w:val="bullet"/>
      <w:lvlText w:val="-"/>
      <w:lvlJc w:val="left"/>
      <w:pPr>
        <w:ind w:left="426" w:firstLine="141"/>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o"/>
      <w:lvlJc w:val="left"/>
      <w:pPr>
        <w:ind w:left="1364" w:hanging="337"/>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084" w:hanging="325"/>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2804" w:hanging="313.00000000000045"/>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o"/>
      <w:lvlJc w:val="left"/>
      <w:pPr>
        <w:ind w:left="3524" w:hanging="301.00000000000045"/>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244" w:hanging="289"/>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4964" w:hanging="277"/>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o"/>
      <w:lvlJc w:val="left"/>
      <w:pPr>
        <w:ind w:left="5684" w:hanging="265"/>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404" w:hanging="253"/>
      </w:pPr>
      <w:rPr>
        <w:rFonts w:ascii="Times New Roman" w:cs="Times New Roman" w:eastAsia="Times New Roman" w:hAnsi="Times New Roman"/>
        <w:b w:val="0"/>
        <w:bCs w:val="0"/>
        <w:i w:val="0"/>
        <w:iCs w:val="0"/>
        <w:smallCaps w:val="0"/>
        <w:strike w:val="0"/>
        <w:shd w:fill="auto" w:val="clear"/>
        <w:vertAlign w:val="baseline"/>
      </w:rPr>
    </w:lvl>
  </w:abstractNum>
  <w:abstractNum w:abstractNumId="7">
    <w:lvl w:ilvl="0">
      <w:start w:val="1"/>
      <w:numFmt w:val="bullet"/>
      <w:lvlText w:val="-"/>
      <w:lvlJc w:val="left"/>
      <w:pPr>
        <w:ind w:left="851" w:hanging="284"/>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o"/>
      <w:lvlJc w:val="left"/>
      <w:pPr>
        <w:ind w:left="1789" w:hanging="284"/>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509" w:hanging="284"/>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3229" w:hanging="284"/>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o"/>
      <w:lvlJc w:val="left"/>
      <w:pPr>
        <w:ind w:left="3949" w:hanging="284"/>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669" w:hanging="284"/>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389" w:hanging="284"/>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o"/>
      <w:lvlJc w:val="left"/>
      <w:pPr>
        <w:ind w:left="6109" w:hanging="284"/>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829" w:hanging="284"/>
      </w:pPr>
      <w:rPr>
        <w:rFonts w:ascii="Times New Roman" w:cs="Times New Roman" w:eastAsia="Times New Roman" w:hAnsi="Times New Roman"/>
        <w:b w:val="0"/>
        <w:bCs w:val="0"/>
        <w:i w:val="0"/>
        <w:iCs w:val="0"/>
        <w:smallCaps w:val="0"/>
        <w:strike w:val="0"/>
        <w:shd w:fill="auto" w:val="clear"/>
        <w:vertAlign w:val="baseline"/>
      </w:rPr>
    </w:lvl>
  </w:abstractNum>
  <w:abstractNum w:abstractNumId="8">
    <w:lvl w:ilvl="0">
      <w:start w:val="1"/>
      <w:numFmt w:val="bullet"/>
      <w:lvlText w:val="-"/>
      <w:lvlJc w:val="left"/>
      <w:pPr>
        <w:ind w:left="851" w:hanging="284"/>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o"/>
      <w:lvlJc w:val="left"/>
      <w:pPr>
        <w:ind w:left="1571" w:hanging="284"/>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291" w:hanging="284"/>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3011" w:hanging="283.99999999999955"/>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o"/>
      <w:lvlJc w:val="left"/>
      <w:pPr>
        <w:ind w:left="3731" w:hanging="283.99999999999955"/>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451" w:hanging="284"/>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171" w:hanging="284"/>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o"/>
      <w:lvlJc w:val="left"/>
      <w:pPr>
        <w:ind w:left="5891" w:hanging="284"/>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611" w:hanging="284"/>
      </w:pPr>
      <w:rPr>
        <w:rFonts w:ascii="Times New Roman" w:cs="Times New Roman" w:eastAsia="Times New Roman" w:hAnsi="Times New Roman"/>
        <w:b w:val="0"/>
        <w:bCs w:val="0"/>
        <w:i w:val="0"/>
        <w:iCs w:val="0"/>
        <w:smallCaps w:val="0"/>
        <w:strike w:val="0"/>
        <w:shd w:fill="auto" w:val="clear"/>
        <w:vertAlign w:val="baseli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o"/>
      <w:lvlJc w:val="left"/>
      <w:pPr>
        <w:ind w:left="1440" w:hanging="360"/>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2160" w:hanging="360"/>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2880" w:hanging="360"/>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o"/>
      <w:lvlJc w:val="left"/>
      <w:pPr>
        <w:ind w:left="3600" w:hanging="360"/>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4320" w:hanging="360"/>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5040" w:hanging="360"/>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o"/>
      <w:lvlJc w:val="left"/>
      <w:pPr>
        <w:ind w:left="5760" w:hanging="360"/>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6480" w:hanging="360"/>
      </w:pPr>
      <w:rPr>
        <w:rFonts w:ascii="Times New Roman" w:cs="Times New Roman" w:eastAsia="Times New Roman" w:hAnsi="Times New Roman"/>
        <w:b w:val="0"/>
        <w:bCs w:val="0"/>
        <w:i w:val="0"/>
        <w:iCs w:val="0"/>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bCs w:val="0"/>
      <w:i w:val="0"/>
      <w:iCs w:val="0"/>
      <w:smallCaps w:val="0"/>
      <w:strike w:val="0"/>
      <w:color w:val="1f3763"/>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bCs w:val="0"/>
      <w:i w:val="1"/>
      <w:iCs w:val="1"/>
      <w:smallCaps w:val="0"/>
      <w:strike w:val="0"/>
      <w:color w:val="2f5496"/>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mt-ig.org/articoli/vergogna-marshall-bush" TargetMode="External"/><Relationship Id="rId7" Type="http://schemas.openxmlformats.org/officeDocument/2006/relationships/hyperlink" Target="https://www.cmt-ig.org/papers/odio-di-s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